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55" w:rsidRDefault="005B75A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Kielce, 5</w:t>
      </w:r>
      <w:r w:rsidR="00D262F5">
        <w:rPr>
          <w:lang w:val="pl-PL"/>
        </w:rPr>
        <w:t xml:space="preserve"> kwietnia 2017 r.</w:t>
      </w:r>
    </w:p>
    <w:p w:rsidR="00D262F5" w:rsidRDefault="00D262F5">
      <w:pPr>
        <w:rPr>
          <w:lang w:val="pl-PL"/>
        </w:rPr>
      </w:pPr>
      <w:r>
        <w:rPr>
          <w:lang w:val="pl-PL"/>
        </w:rPr>
        <w:t>Prof. dr hab. Waldemar Kowalski</w:t>
      </w:r>
    </w:p>
    <w:p w:rsidR="00D262F5" w:rsidRDefault="00D262F5">
      <w:pPr>
        <w:rPr>
          <w:lang w:val="pl-PL"/>
        </w:rPr>
      </w:pPr>
      <w:r>
        <w:rPr>
          <w:lang w:val="pl-PL"/>
        </w:rPr>
        <w:t>Wydział Humanistyczny</w:t>
      </w:r>
      <w:r w:rsidR="0072369D">
        <w:rPr>
          <w:lang w:val="pl-PL"/>
        </w:rPr>
        <w:t>, Instytut Historii</w:t>
      </w:r>
    </w:p>
    <w:p w:rsidR="00D262F5" w:rsidRDefault="00D262F5">
      <w:pPr>
        <w:rPr>
          <w:lang w:val="pl-PL"/>
        </w:rPr>
      </w:pPr>
      <w:r>
        <w:rPr>
          <w:lang w:val="pl-PL"/>
        </w:rPr>
        <w:t>Uniwersytet Jana Kochanowskiego</w:t>
      </w:r>
    </w:p>
    <w:p w:rsidR="00D262F5" w:rsidRDefault="00D262F5">
      <w:pPr>
        <w:rPr>
          <w:lang w:val="pl-PL"/>
        </w:rPr>
      </w:pPr>
      <w:r>
        <w:rPr>
          <w:lang w:val="pl-PL"/>
        </w:rPr>
        <w:t>w Kielcach</w:t>
      </w:r>
    </w:p>
    <w:p w:rsidR="00D262F5" w:rsidRDefault="00D262F5">
      <w:pPr>
        <w:rPr>
          <w:lang w:val="pl-PL"/>
        </w:rPr>
      </w:pPr>
    </w:p>
    <w:p w:rsidR="00D262F5" w:rsidRPr="00221994" w:rsidRDefault="00D262F5" w:rsidP="00221994">
      <w:pPr>
        <w:ind w:firstLine="0"/>
        <w:jc w:val="center"/>
        <w:rPr>
          <w:b/>
          <w:lang w:val="pl-PL"/>
        </w:rPr>
      </w:pPr>
      <w:r w:rsidRPr="00221994">
        <w:rPr>
          <w:b/>
          <w:lang w:val="pl-PL"/>
        </w:rPr>
        <w:t xml:space="preserve">Recenzja rozprawy doktorskiej Pani mgr Klaudii Skrężyny </w:t>
      </w:r>
      <w:r w:rsidRPr="00221994">
        <w:rPr>
          <w:b/>
          <w:i/>
          <w:lang w:val="pl-PL"/>
        </w:rPr>
        <w:t>Słomniki i klucz słomnicki do końca XVIII wieku. Studium z dziejów dóbr stołu królewskiego</w:t>
      </w:r>
    </w:p>
    <w:p w:rsidR="00D262F5" w:rsidRDefault="00D262F5">
      <w:pPr>
        <w:rPr>
          <w:lang w:val="pl-PL"/>
        </w:rPr>
      </w:pPr>
    </w:p>
    <w:p w:rsidR="00D262F5" w:rsidRDefault="00D262F5">
      <w:pPr>
        <w:rPr>
          <w:lang w:val="pl-PL"/>
        </w:rPr>
      </w:pPr>
      <w:r>
        <w:rPr>
          <w:lang w:val="pl-PL"/>
        </w:rPr>
        <w:t>Oceniana rozprawa przedstawia przedrozbiorowe dzieje Słomnik oraz słomnickiego klucza dóbr, królewszczyzny będącej częścią krakowskich wielkorządów.</w:t>
      </w:r>
      <w:r w:rsidR="00F16450">
        <w:rPr>
          <w:lang w:val="pl-PL"/>
        </w:rPr>
        <w:t xml:space="preserve"> Walory poznawcze takich studiów z zakresu historii lokalnej zostały już gruntownie dowiedzione</w:t>
      </w:r>
      <w:r w:rsidR="00221994">
        <w:rPr>
          <w:rStyle w:val="Odwoanieprzypisudolnego"/>
          <w:lang w:val="pl-PL"/>
        </w:rPr>
        <w:footnoteReference w:id="1"/>
      </w:r>
      <w:r w:rsidR="00F16450">
        <w:rPr>
          <w:lang w:val="pl-PL"/>
        </w:rPr>
        <w:t xml:space="preserve">, toteż potrzeba przybliżenia przeszłości tej podkrakowskiej osady oraz sąsiadujących z nią </w:t>
      </w:r>
      <w:r w:rsidR="004A133E">
        <w:rPr>
          <w:lang w:val="pl-PL"/>
        </w:rPr>
        <w:t>wsi nie budzi ża</w:t>
      </w:r>
      <w:r w:rsidR="004A133E">
        <w:rPr>
          <w:lang w:val="pl-PL"/>
        </w:rPr>
        <w:t>d</w:t>
      </w:r>
      <w:r w:rsidR="004A133E">
        <w:rPr>
          <w:lang w:val="pl-PL"/>
        </w:rPr>
        <w:t>nych wątpliwości. Szczególnie frapujące poznawczo jest właśnie sąsiedztwo potężnej kr</w:t>
      </w:r>
      <w:r w:rsidR="004A133E">
        <w:rPr>
          <w:lang w:val="pl-PL"/>
        </w:rPr>
        <w:t>a</w:t>
      </w:r>
      <w:r w:rsidR="004A133E">
        <w:rPr>
          <w:lang w:val="pl-PL"/>
        </w:rPr>
        <w:t>kowskiej aglomeracji oraz pytanie</w:t>
      </w:r>
      <w:r w:rsidR="00AA365D">
        <w:rPr>
          <w:lang w:val="pl-PL"/>
        </w:rPr>
        <w:t>,</w:t>
      </w:r>
      <w:r w:rsidR="004A133E">
        <w:rPr>
          <w:lang w:val="pl-PL"/>
        </w:rPr>
        <w:t xml:space="preserve"> czy i w jaki sposób determinowała ona rozwój badanego miasta</w:t>
      </w:r>
      <w:r w:rsidR="0072369D">
        <w:rPr>
          <w:lang w:val="pl-PL"/>
        </w:rPr>
        <w:t xml:space="preserve"> i otaczających go włości</w:t>
      </w:r>
      <w:r w:rsidR="004A133E">
        <w:rPr>
          <w:lang w:val="pl-PL"/>
        </w:rPr>
        <w:t xml:space="preserve">. </w:t>
      </w:r>
      <w:r w:rsidR="00262E79">
        <w:rPr>
          <w:lang w:val="pl-PL"/>
        </w:rPr>
        <w:t>Problem taki nie został</w:t>
      </w:r>
      <w:r w:rsidR="004A133E">
        <w:rPr>
          <w:lang w:val="pl-PL"/>
        </w:rPr>
        <w:t xml:space="preserve"> przez Autorkę sformułowane </w:t>
      </w:r>
      <w:r w:rsidR="004A133E" w:rsidRPr="00CB68D5">
        <w:rPr>
          <w:i/>
          <w:lang w:val="pl-PL"/>
        </w:rPr>
        <w:t>expressis verbis</w:t>
      </w:r>
      <w:r w:rsidR="004A133E">
        <w:rPr>
          <w:lang w:val="pl-PL"/>
        </w:rPr>
        <w:t xml:space="preserve">, choć wyraźnie akcentuje Ona konsekwencje </w:t>
      </w:r>
      <w:r w:rsidR="0072369D">
        <w:rPr>
          <w:lang w:val="pl-PL"/>
        </w:rPr>
        <w:t xml:space="preserve">takiego sąsiedztwa </w:t>
      </w:r>
      <w:r w:rsidR="00262E79">
        <w:rPr>
          <w:lang w:val="pl-PL"/>
        </w:rPr>
        <w:t xml:space="preserve">oraz </w:t>
      </w:r>
      <w:r w:rsidR="004A133E">
        <w:rPr>
          <w:lang w:val="pl-PL"/>
        </w:rPr>
        <w:t xml:space="preserve">bycia częścią domeny królewskiej. </w:t>
      </w:r>
    </w:p>
    <w:p w:rsidR="00CB68D5" w:rsidRDefault="00CB68D5">
      <w:pPr>
        <w:rPr>
          <w:lang w:val="pl-PL"/>
        </w:rPr>
      </w:pPr>
      <w:r>
        <w:rPr>
          <w:lang w:val="pl-PL"/>
        </w:rPr>
        <w:t>Autorka słusznie przyjęła chronologiczny porządek</w:t>
      </w:r>
      <w:r w:rsidR="00812936">
        <w:rPr>
          <w:lang w:val="pl-PL"/>
        </w:rPr>
        <w:t xml:space="preserve"> narracji, według którego najpierw omawia zagadnienia społeczne, gospodarcze i kulturowe z życia mieszczan, by następnie przedstawić gospodarkę w s</w:t>
      </w:r>
      <w:r w:rsidR="00DF2FED">
        <w:rPr>
          <w:lang w:val="pl-PL"/>
        </w:rPr>
        <w:t>łomnickim kluczu dóbr. Z</w:t>
      </w:r>
      <w:r w:rsidR="00812936">
        <w:rPr>
          <w:lang w:val="pl-PL"/>
        </w:rPr>
        <w:t xml:space="preserve">agadnienia </w:t>
      </w:r>
      <w:r w:rsidR="00167149">
        <w:rPr>
          <w:lang w:val="pl-PL"/>
        </w:rPr>
        <w:t xml:space="preserve">ekonomiczne </w:t>
      </w:r>
      <w:r w:rsidR="00812936">
        <w:rPr>
          <w:lang w:val="pl-PL"/>
        </w:rPr>
        <w:t>wyraźnie d</w:t>
      </w:r>
      <w:r w:rsidR="00812936">
        <w:rPr>
          <w:lang w:val="pl-PL"/>
        </w:rPr>
        <w:t>o</w:t>
      </w:r>
      <w:r w:rsidR="00812936">
        <w:rPr>
          <w:lang w:val="pl-PL"/>
        </w:rPr>
        <w:t xml:space="preserve">minują, </w:t>
      </w:r>
      <w:r w:rsidR="00DF2FED">
        <w:rPr>
          <w:lang w:val="pl-PL"/>
        </w:rPr>
        <w:t xml:space="preserve">bo też – jak czytamy we wstępie (s. 8) – </w:t>
      </w:r>
      <w:r w:rsidR="00812936">
        <w:rPr>
          <w:lang w:val="pl-PL"/>
        </w:rPr>
        <w:t>celem Doktorantki było przedstawienie</w:t>
      </w:r>
      <w:r w:rsidR="00DF2FED">
        <w:rPr>
          <w:lang w:val="pl-PL"/>
        </w:rPr>
        <w:t xml:space="preserve"> „ż</w:t>
      </w:r>
      <w:r w:rsidR="00DF2FED">
        <w:rPr>
          <w:lang w:val="pl-PL"/>
        </w:rPr>
        <w:t>y</w:t>
      </w:r>
      <w:r w:rsidR="00DF2FED">
        <w:rPr>
          <w:lang w:val="pl-PL"/>
        </w:rPr>
        <w:t>cia społeczno-gospodarczego”. Trudno mówić jednak o konsekwentnej realizacji tego założ</w:t>
      </w:r>
      <w:r w:rsidR="00DF2FED">
        <w:rPr>
          <w:lang w:val="pl-PL"/>
        </w:rPr>
        <w:t>e</w:t>
      </w:r>
      <w:r w:rsidR="00DF2FED">
        <w:rPr>
          <w:lang w:val="pl-PL"/>
        </w:rPr>
        <w:t>nia</w:t>
      </w:r>
      <w:r w:rsidR="00167149">
        <w:rPr>
          <w:lang w:val="pl-PL"/>
        </w:rPr>
        <w:t xml:space="preserve">, bowiem Autorka nie stroni od przybliżenia miejskiej obyczajowości i kultury, m.in. we fragmencie dotyczącym parafii. Piszący te słowa ma więc odczucie, iż ambicją Pani mgr Klaudii </w:t>
      </w:r>
      <w:proofErr w:type="spellStart"/>
      <w:r w:rsidR="00167149">
        <w:rPr>
          <w:lang w:val="pl-PL"/>
        </w:rPr>
        <w:t>Skrężyny</w:t>
      </w:r>
      <w:proofErr w:type="spellEnd"/>
      <w:r w:rsidR="00167149">
        <w:rPr>
          <w:lang w:val="pl-PL"/>
        </w:rPr>
        <w:t xml:space="preserve"> było </w:t>
      </w:r>
      <w:r w:rsidR="00AA365D">
        <w:rPr>
          <w:lang w:val="pl-PL"/>
        </w:rPr>
        <w:t xml:space="preserve">jednak </w:t>
      </w:r>
      <w:r w:rsidR="00167149">
        <w:rPr>
          <w:lang w:val="pl-PL"/>
        </w:rPr>
        <w:t>możliwie wszechstronne przybliżenie historii miasta oraz s</w:t>
      </w:r>
      <w:r w:rsidR="00167149">
        <w:rPr>
          <w:lang w:val="pl-PL"/>
        </w:rPr>
        <w:t>ą</w:t>
      </w:r>
      <w:r w:rsidR="00167149">
        <w:rPr>
          <w:lang w:val="pl-PL"/>
        </w:rPr>
        <w:lastRenderedPageBreak/>
        <w:t>siadujących z nim wsi. Dążenie takie, skądinąd chwalebne, musi mieć jednak ujemne kons</w:t>
      </w:r>
      <w:r w:rsidR="00167149">
        <w:rPr>
          <w:lang w:val="pl-PL"/>
        </w:rPr>
        <w:t>e</w:t>
      </w:r>
      <w:r w:rsidR="00167149">
        <w:rPr>
          <w:lang w:val="pl-PL"/>
        </w:rPr>
        <w:t>kwencje</w:t>
      </w:r>
      <w:r w:rsidR="009A482C">
        <w:rPr>
          <w:lang w:val="pl-PL"/>
        </w:rPr>
        <w:t>, dość typowe dla takich opracowań monograficznych, które wyszły spod pióra je</w:t>
      </w:r>
      <w:r w:rsidR="009A482C">
        <w:rPr>
          <w:lang w:val="pl-PL"/>
        </w:rPr>
        <w:t>d</w:t>
      </w:r>
      <w:r w:rsidR="009A482C">
        <w:rPr>
          <w:lang w:val="pl-PL"/>
        </w:rPr>
        <w:t xml:space="preserve">nego autora. </w:t>
      </w:r>
      <w:r w:rsidR="00AC69F5">
        <w:rPr>
          <w:lang w:val="pl-PL"/>
        </w:rPr>
        <w:t xml:space="preserve">Nawet bowiem historycy dysponujący </w:t>
      </w:r>
      <w:r w:rsidR="00227F01">
        <w:rPr>
          <w:lang w:val="pl-PL"/>
        </w:rPr>
        <w:t xml:space="preserve">znacznie </w:t>
      </w:r>
      <w:r w:rsidR="00AC69F5">
        <w:rPr>
          <w:lang w:val="pl-PL"/>
        </w:rPr>
        <w:t>większym doświadczeniem b</w:t>
      </w:r>
      <w:r w:rsidR="00AC69F5">
        <w:rPr>
          <w:lang w:val="pl-PL"/>
        </w:rPr>
        <w:t>a</w:t>
      </w:r>
      <w:r w:rsidR="00AC69F5">
        <w:rPr>
          <w:lang w:val="pl-PL"/>
        </w:rPr>
        <w:t xml:space="preserve">dawczym mają </w:t>
      </w:r>
      <w:r w:rsidR="00AA365D">
        <w:rPr>
          <w:lang w:val="pl-PL"/>
        </w:rPr>
        <w:t xml:space="preserve">przy tak maksymalistycznym założeniu </w:t>
      </w:r>
      <w:r w:rsidR="00AC69F5">
        <w:rPr>
          <w:lang w:val="pl-PL"/>
        </w:rPr>
        <w:t>problemy natury heurystycznej i m</w:t>
      </w:r>
      <w:r w:rsidR="00AC69F5">
        <w:rPr>
          <w:lang w:val="pl-PL"/>
        </w:rPr>
        <w:t>e</w:t>
      </w:r>
      <w:r w:rsidR="00AC69F5">
        <w:rPr>
          <w:lang w:val="pl-PL"/>
        </w:rPr>
        <w:t xml:space="preserve">todologicznej. </w:t>
      </w:r>
      <w:r w:rsidR="00167149">
        <w:rPr>
          <w:lang w:val="pl-PL"/>
        </w:rPr>
        <w:t xml:space="preserve"> </w:t>
      </w:r>
      <w:r w:rsidR="00227F01">
        <w:rPr>
          <w:lang w:val="pl-PL"/>
        </w:rPr>
        <w:t>Tłumaczy to pewne braki w podstawie źródłowej</w:t>
      </w:r>
      <w:r w:rsidR="00AA365D">
        <w:rPr>
          <w:lang w:val="pl-PL"/>
        </w:rPr>
        <w:t>,</w:t>
      </w:r>
      <w:r w:rsidR="00957CC1">
        <w:rPr>
          <w:lang w:val="pl-PL"/>
        </w:rPr>
        <w:t xml:space="preserve"> o różnych</w:t>
      </w:r>
      <w:r w:rsidR="00227F01">
        <w:rPr>
          <w:lang w:val="pl-PL"/>
        </w:rPr>
        <w:t xml:space="preserve"> </w:t>
      </w:r>
      <w:r w:rsidR="00AA365D">
        <w:rPr>
          <w:lang w:val="pl-PL"/>
        </w:rPr>
        <w:t xml:space="preserve">zresztą </w:t>
      </w:r>
      <w:r w:rsidR="00957CC1">
        <w:rPr>
          <w:lang w:val="pl-PL"/>
        </w:rPr>
        <w:t>kons</w:t>
      </w:r>
      <w:r w:rsidR="00957CC1">
        <w:rPr>
          <w:lang w:val="pl-PL"/>
        </w:rPr>
        <w:t>e</w:t>
      </w:r>
      <w:r w:rsidR="00957CC1">
        <w:rPr>
          <w:lang w:val="pl-PL"/>
        </w:rPr>
        <w:t xml:space="preserve">kwencjach </w:t>
      </w:r>
      <w:r w:rsidR="00227F01">
        <w:rPr>
          <w:lang w:val="pl-PL"/>
        </w:rPr>
        <w:t>poznaw</w:t>
      </w:r>
      <w:r w:rsidR="00957CC1">
        <w:rPr>
          <w:lang w:val="pl-PL"/>
        </w:rPr>
        <w:t>czych</w:t>
      </w:r>
      <w:r w:rsidR="00227F01">
        <w:rPr>
          <w:lang w:val="pl-PL"/>
        </w:rPr>
        <w:t xml:space="preserve">, które wskazuję omawiając poszczególne rozdziały. </w:t>
      </w:r>
      <w:r w:rsidR="004C4211">
        <w:rPr>
          <w:lang w:val="pl-PL"/>
        </w:rPr>
        <w:t>Podkreślić nal</w:t>
      </w:r>
      <w:r w:rsidR="004C4211">
        <w:rPr>
          <w:lang w:val="pl-PL"/>
        </w:rPr>
        <w:t>e</w:t>
      </w:r>
      <w:r w:rsidR="004C4211">
        <w:rPr>
          <w:lang w:val="pl-PL"/>
        </w:rPr>
        <w:t xml:space="preserve">ży jednak wykorzystanie obszernej podstawy źródłowej, </w:t>
      </w:r>
      <w:r w:rsidR="00957CC1">
        <w:rPr>
          <w:lang w:val="pl-PL"/>
        </w:rPr>
        <w:t xml:space="preserve">bogactwa </w:t>
      </w:r>
      <w:r w:rsidR="004C4211">
        <w:rPr>
          <w:lang w:val="pl-PL"/>
        </w:rPr>
        <w:t>archiwaliów proweniencji państwowej, prywatnej i kościelnej. Autorka na ogół dobrze radzi sobie z ich analizą. Pomo</w:t>
      </w:r>
      <w:r w:rsidR="004C4211">
        <w:rPr>
          <w:lang w:val="pl-PL"/>
        </w:rPr>
        <w:t>c</w:t>
      </w:r>
      <w:r w:rsidR="004C4211">
        <w:rPr>
          <w:lang w:val="pl-PL"/>
        </w:rPr>
        <w:t xml:space="preserve">na w tym jest </w:t>
      </w:r>
      <w:r w:rsidR="00957CC1">
        <w:rPr>
          <w:lang w:val="pl-PL"/>
        </w:rPr>
        <w:t xml:space="preserve">obszerna </w:t>
      </w:r>
      <w:r w:rsidR="004C4211">
        <w:rPr>
          <w:lang w:val="pl-PL"/>
        </w:rPr>
        <w:t>literatura przedmiotu. Dowodzi ona dobrej znajomości epoki, a w niej przede wszystkim zagadnień społeczno-gospodarczych. Zauważyć wszakże trzeba zbędne szczegółowe referowanie w przypisach stanu badań, do którego Doktorantka nie odwołuje się w dalszej narracji.</w:t>
      </w:r>
      <w:r w:rsidR="007D3077">
        <w:rPr>
          <w:lang w:val="pl-PL"/>
        </w:rPr>
        <w:t xml:space="preserve"> </w:t>
      </w:r>
      <w:r w:rsidR="007D3077" w:rsidRPr="007D3077">
        <w:rPr>
          <w:i/>
          <w:lang w:val="pl-PL"/>
        </w:rPr>
        <w:t xml:space="preserve">A </w:t>
      </w:r>
      <w:proofErr w:type="spellStart"/>
      <w:r w:rsidR="007D3077" w:rsidRPr="007D3077">
        <w:rPr>
          <w:i/>
          <w:lang w:val="pl-PL"/>
        </w:rPr>
        <w:t>vista</w:t>
      </w:r>
      <w:proofErr w:type="spellEnd"/>
      <w:r w:rsidR="007D3077">
        <w:rPr>
          <w:lang w:val="pl-PL"/>
        </w:rPr>
        <w:t xml:space="preserve"> wskazać tu można przypis zbierający literaturę „ratuszową” na str. 109 czy obszerne przypisy na str. 163, gdzie mowa o wymianie handlowej.</w:t>
      </w:r>
      <w:r w:rsidR="000B148A">
        <w:rPr>
          <w:lang w:val="pl-PL"/>
        </w:rPr>
        <w:t xml:space="preserve"> Autorka słusznie referuje stan badań nad małymi miastami</w:t>
      </w:r>
      <w:r w:rsidR="008A7395">
        <w:rPr>
          <w:lang w:val="pl-PL"/>
        </w:rPr>
        <w:t>, wspomina przy tym m.in. opracowania mówiące o Anglii</w:t>
      </w:r>
      <w:r w:rsidR="006E2B6D">
        <w:rPr>
          <w:lang w:val="pl-PL"/>
        </w:rPr>
        <w:t>. Pominiętą pracę Jaroslava Millera wzmiankuję tu tylko dlatego, że dotyczy ona społ</w:t>
      </w:r>
      <w:r w:rsidR="006E2B6D">
        <w:rPr>
          <w:lang w:val="pl-PL"/>
        </w:rPr>
        <w:t>e</w:t>
      </w:r>
      <w:r w:rsidR="006E2B6D">
        <w:rPr>
          <w:lang w:val="pl-PL"/>
        </w:rPr>
        <w:t>czeństw miejskich makroregionu środkowoeuropejskiego</w:t>
      </w:r>
      <w:r w:rsidR="006E2B6D">
        <w:rPr>
          <w:rStyle w:val="Odwoanieprzypisudolnego"/>
          <w:lang w:val="pl-PL"/>
        </w:rPr>
        <w:footnoteReference w:id="2"/>
      </w:r>
      <w:r w:rsidR="006E2B6D">
        <w:rPr>
          <w:lang w:val="pl-PL"/>
        </w:rPr>
        <w:t>.</w:t>
      </w:r>
    </w:p>
    <w:p w:rsidR="00F53BAF" w:rsidRDefault="00F53BAF">
      <w:pPr>
        <w:rPr>
          <w:lang w:val="pl-PL"/>
        </w:rPr>
      </w:pPr>
      <w:r>
        <w:rPr>
          <w:lang w:val="pl-PL"/>
        </w:rPr>
        <w:t xml:space="preserve">Konstrukcja pracy nie budzi większych zastrzeżeń, z tym iż rozdział 5: </w:t>
      </w:r>
      <w:r w:rsidRPr="00F53BAF">
        <w:rPr>
          <w:i/>
          <w:lang w:val="pl-PL"/>
        </w:rPr>
        <w:t>Przestrzeń miejska</w:t>
      </w:r>
      <w:r>
        <w:rPr>
          <w:lang w:val="pl-PL"/>
        </w:rPr>
        <w:t xml:space="preserve"> winien być umieszczony w początkowych partiach pracy jako część charakterystyki geogospodarczej; tu powinien też znaleźć miejsce poszerzony opis środowiska naturalnego, w tym </w:t>
      </w:r>
      <w:r w:rsidR="00003797">
        <w:rPr>
          <w:lang w:val="pl-PL"/>
        </w:rPr>
        <w:t xml:space="preserve">hydrografii, zalesienia </w:t>
      </w:r>
      <w:r>
        <w:rPr>
          <w:lang w:val="pl-PL"/>
        </w:rPr>
        <w:t xml:space="preserve">i </w:t>
      </w:r>
      <w:r w:rsidR="00003797">
        <w:rPr>
          <w:lang w:val="pl-PL"/>
        </w:rPr>
        <w:t xml:space="preserve">warunków </w:t>
      </w:r>
      <w:r>
        <w:rPr>
          <w:lang w:val="pl-PL"/>
        </w:rPr>
        <w:t xml:space="preserve">glebowych. </w:t>
      </w:r>
      <w:r w:rsidR="00003797">
        <w:rPr>
          <w:lang w:val="pl-PL"/>
        </w:rPr>
        <w:t>Informacje te powinny być wsparte mapą klucza dóbr z naniesionymi na niej granicami parafii</w:t>
      </w:r>
      <w:r w:rsidR="004310C2">
        <w:rPr>
          <w:rStyle w:val="Odwoanieprzypisudolnego"/>
          <w:lang w:val="pl-PL"/>
        </w:rPr>
        <w:footnoteReference w:id="3"/>
      </w:r>
      <w:r w:rsidR="004310C2">
        <w:rPr>
          <w:lang w:val="pl-PL"/>
        </w:rPr>
        <w:t>.</w:t>
      </w:r>
      <w:r w:rsidR="006F38CF">
        <w:rPr>
          <w:lang w:val="pl-PL"/>
        </w:rPr>
        <w:t xml:space="preserve"> Po części </w:t>
      </w:r>
      <w:r w:rsidR="00752657">
        <w:rPr>
          <w:lang w:val="pl-PL"/>
        </w:rPr>
        <w:t xml:space="preserve">informacje takie </w:t>
      </w:r>
      <w:r w:rsidR="00BA570B">
        <w:rPr>
          <w:lang w:val="pl-PL"/>
        </w:rPr>
        <w:t>znajdujemy też w podrozdziale 1.1.2 zatytułowanym „Lokalizacja”. Mam przy tym wątpliwości, czy w</w:t>
      </w:r>
      <w:r w:rsidR="00BA570B">
        <w:rPr>
          <w:lang w:val="pl-PL"/>
        </w:rPr>
        <w:t>y</w:t>
      </w:r>
      <w:r w:rsidR="00BA570B">
        <w:rPr>
          <w:lang w:val="pl-PL"/>
        </w:rPr>
        <w:t>korzy</w:t>
      </w:r>
      <w:r w:rsidR="00752657">
        <w:rPr>
          <w:lang w:val="pl-PL"/>
        </w:rPr>
        <w:t>stanie opracowań Stanisława Kutrzeby, Karola</w:t>
      </w:r>
      <w:r w:rsidR="00BA570B">
        <w:rPr>
          <w:lang w:val="pl-PL"/>
        </w:rPr>
        <w:t xml:space="preserve"> M</w:t>
      </w:r>
      <w:r w:rsidR="00752657">
        <w:rPr>
          <w:lang w:val="pl-PL"/>
        </w:rPr>
        <w:t>aleczyńskiego oraz Stefana</w:t>
      </w:r>
      <w:r w:rsidR="00BA570B">
        <w:rPr>
          <w:lang w:val="pl-PL"/>
        </w:rPr>
        <w:t xml:space="preserve"> Weyma</w:t>
      </w:r>
      <w:r w:rsidR="00BA570B">
        <w:rPr>
          <w:lang w:val="pl-PL"/>
        </w:rPr>
        <w:t>n</w:t>
      </w:r>
      <w:r w:rsidR="00BA570B">
        <w:rPr>
          <w:lang w:val="pl-PL"/>
        </w:rPr>
        <w:t>na dla nakreślenia sieci drożnej zwalnia</w:t>
      </w:r>
      <w:r w:rsidR="00752657">
        <w:rPr>
          <w:lang w:val="pl-PL"/>
        </w:rPr>
        <w:t xml:space="preserve"> od uwzględnienia opracowania Bożeny</w:t>
      </w:r>
      <w:r w:rsidR="00BA570B">
        <w:rPr>
          <w:lang w:val="pl-PL"/>
        </w:rPr>
        <w:t xml:space="preserve"> </w:t>
      </w:r>
      <w:proofErr w:type="spellStart"/>
      <w:r w:rsidR="00BA570B">
        <w:rPr>
          <w:lang w:val="pl-PL"/>
        </w:rPr>
        <w:t>Wyrozu</w:t>
      </w:r>
      <w:r w:rsidR="00BA570B">
        <w:rPr>
          <w:lang w:val="pl-PL"/>
        </w:rPr>
        <w:t>m</w:t>
      </w:r>
      <w:r w:rsidR="00BA570B">
        <w:rPr>
          <w:lang w:val="pl-PL"/>
        </w:rPr>
        <w:t>skiej</w:t>
      </w:r>
      <w:proofErr w:type="spellEnd"/>
      <w:r w:rsidR="00BA570B">
        <w:rPr>
          <w:rStyle w:val="Odwoanieprzypisudolnego"/>
          <w:lang w:val="pl-PL"/>
        </w:rPr>
        <w:footnoteReference w:id="4"/>
      </w:r>
      <w:r w:rsidR="00BA570B">
        <w:rPr>
          <w:lang w:val="pl-PL"/>
        </w:rPr>
        <w:t xml:space="preserve">. </w:t>
      </w:r>
      <w:r w:rsidR="00B32A59">
        <w:rPr>
          <w:lang w:val="pl-PL"/>
        </w:rPr>
        <w:t>Rozważyłbym nadto zmniejszenie liczby, nierównych pod względem objętości, ro</w:t>
      </w:r>
      <w:r w:rsidR="00B32A59">
        <w:rPr>
          <w:lang w:val="pl-PL"/>
        </w:rPr>
        <w:t>z</w:t>
      </w:r>
      <w:r w:rsidR="00B32A59">
        <w:rPr>
          <w:lang w:val="pl-PL"/>
        </w:rPr>
        <w:lastRenderedPageBreak/>
        <w:t xml:space="preserve">działów „nowożytnej” części pracy (sugeruję połączenie rozdziałów 6 i 7, a dalej włączenie </w:t>
      </w:r>
      <w:r w:rsidR="00A2614D">
        <w:rPr>
          <w:lang w:val="pl-PL"/>
        </w:rPr>
        <w:t xml:space="preserve">jako podrozdziału </w:t>
      </w:r>
      <w:r w:rsidR="00B32A59">
        <w:rPr>
          <w:lang w:val="pl-PL"/>
        </w:rPr>
        <w:t xml:space="preserve">do rozdział </w:t>
      </w:r>
      <w:r w:rsidR="00B32A59" w:rsidRPr="00B32A59">
        <w:rPr>
          <w:i/>
          <w:lang w:val="pl-PL"/>
        </w:rPr>
        <w:t>Stosunki własnościowe i gospodarka w słomnickim kluczu dóbr</w:t>
      </w:r>
      <w:r w:rsidR="00B32A59">
        <w:rPr>
          <w:lang w:val="pl-PL"/>
        </w:rPr>
        <w:t xml:space="preserve"> informacji o zabudowie i służbie folwarcznej).</w:t>
      </w:r>
      <w:r w:rsidR="00BA570B">
        <w:rPr>
          <w:lang w:val="pl-PL"/>
        </w:rPr>
        <w:t xml:space="preserve"> </w:t>
      </w:r>
    </w:p>
    <w:p w:rsidR="00724BE8" w:rsidRDefault="00724BE8">
      <w:pPr>
        <w:rPr>
          <w:lang w:val="pl-PL"/>
        </w:rPr>
      </w:pPr>
      <w:r>
        <w:rPr>
          <w:lang w:val="pl-PL"/>
        </w:rPr>
        <w:t>Rozdział I poświęcony jest Słomnikom w średniowieczu</w:t>
      </w:r>
      <w:r w:rsidR="006F38CF">
        <w:rPr>
          <w:lang w:val="pl-PL"/>
        </w:rPr>
        <w:t>. Najstarsze dzieje miasta r</w:t>
      </w:r>
      <w:r w:rsidR="006F38CF">
        <w:rPr>
          <w:lang w:val="pl-PL"/>
        </w:rPr>
        <w:t>e</w:t>
      </w:r>
      <w:r w:rsidR="006F38CF">
        <w:rPr>
          <w:lang w:val="pl-PL"/>
        </w:rPr>
        <w:t xml:space="preserve">ferowane są na ogół </w:t>
      </w:r>
      <w:r w:rsidR="008A7395">
        <w:rPr>
          <w:lang w:val="pl-PL"/>
        </w:rPr>
        <w:t xml:space="preserve">interesująco i </w:t>
      </w:r>
      <w:r w:rsidR="006F38CF">
        <w:rPr>
          <w:lang w:val="pl-PL"/>
        </w:rPr>
        <w:t>poprawnie, choć niektóre stwierdzenia wymagałyby obj</w:t>
      </w:r>
      <w:r w:rsidR="006F38CF">
        <w:rPr>
          <w:lang w:val="pl-PL"/>
        </w:rPr>
        <w:t>a</w:t>
      </w:r>
      <w:r w:rsidR="006F38CF">
        <w:rPr>
          <w:lang w:val="pl-PL"/>
        </w:rPr>
        <w:t>śnienia lub prowadzą do uproszczeń. Dotyczy to, przykładowo, uwagi na str. 19 o „ścisłym związku Słomnik z władzą feudalną w Polsce wczesnopiastowskiej”</w:t>
      </w:r>
      <w:r w:rsidR="00716207">
        <w:rPr>
          <w:rStyle w:val="Odwoanieprzypisudolnego"/>
          <w:lang w:val="pl-PL"/>
        </w:rPr>
        <w:footnoteReference w:id="5"/>
      </w:r>
      <w:r w:rsidR="006F38CF">
        <w:rPr>
          <w:lang w:val="pl-PL"/>
        </w:rPr>
        <w:t xml:space="preserve">. </w:t>
      </w:r>
    </w:p>
    <w:p w:rsidR="008E0CC7" w:rsidRDefault="00277F05">
      <w:pPr>
        <w:rPr>
          <w:lang w:val="pl-PL"/>
        </w:rPr>
      </w:pPr>
      <w:r>
        <w:rPr>
          <w:lang w:val="pl-PL"/>
        </w:rPr>
        <w:t xml:space="preserve">W rozdziale tym słusznie poczesne miejsce zajmuje lokacja miasta. W świetle ustaleń Jerzego </w:t>
      </w:r>
      <w:proofErr w:type="spellStart"/>
      <w:r>
        <w:rPr>
          <w:lang w:val="pl-PL"/>
        </w:rPr>
        <w:t>Wyrozumskiego</w:t>
      </w:r>
      <w:proofErr w:type="spellEnd"/>
      <w:r>
        <w:rPr>
          <w:lang w:val="pl-PL"/>
        </w:rPr>
        <w:t xml:space="preserve"> trudno </w:t>
      </w:r>
      <w:r w:rsidR="00DA78DD">
        <w:rPr>
          <w:lang w:val="pl-PL"/>
        </w:rPr>
        <w:t xml:space="preserve">jednak </w:t>
      </w:r>
      <w:r>
        <w:rPr>
          <w:lang w:val="pl-PL"/>
        </w:rPr>
        <w:t>mówić o przenoszeniu „osady z prawa polskiego na niemieckie”</w:t>
      </w:r>
      <w:r w:rsidR="00DA78DD">
        <w:rPr>
          <w:lang w:val="pl-PL"/>
        </w:rPr>
        <w:t xml:space="preserve"> (s. 28)</w:t>
      </w:r>
      <w:r>
        <w:rPr>
          <w:lang w:val="pl-PL"/>
        </w:rPr>
        <w:t>, jak też w ogóle o instytucji prawa polskiego innej niż prawo książęce</w:t>
      </w:r>
      <w:r>
        <w:rPr>
          <w:rStyle w:val="Odwoanieprzypisudolnego"/>
          <w:lang w:val="pl-PL"/>
        </w:rPr>
        <w:footnoteReference w:id="6"/>
      </w:r>
      <w:r>
        <w:rPr>
          <w:lang w:val="pl-PL"/>
        </w:rPr>
        <w:t>.</w:t>
      </w:r>
      <w:r w:rsidR="007E626A">
        <w:rPr>
          <w:lang w:val="pl-PL"/>
        </w:rPr>
        <w:t xml:space="preserve"> Obszerne cytowanie dokumentu lokacyjnego </w:t>
      </w:r>
      <w:r w:rsidR="00DC1912">
        <w:rPr>
          <w:lang w:val="pl-PL"/>
        </w:rPr>
        <w:t xml:space="preserve">z 1358 r. (s. 29) </w:t>
      </w:r>
      <w:r w:rsidR="007E626A">
        <w:rPr>
          <w:lang w:val="pl-PL"/>
        </w:rPr>
        <w:t xml:space="preserve">w polskim tłumaczeniu jest o tyle niecelowe, iż </w:t>
      </w:r>
      <w:r w:rsidR="003107BF">
        <w:rPr>
          <w:lang w:val="pl-PL"/>
        </w:rPr>
        <w:t>odwołuje się do niego m.in. Anna</w:t>
      </w:r>
      <w:r w:rsidR="007D5575">
        <w:rPr>
          <w:lang w:val="pl-PL"/>
        </w:rPr>
        <w:t xml:space="preserve"> </w:t>
      </w:r>
      <w:proofErr w:type="spellStart"/>
      <w:r w:rsidR="007D5575">
        <w:rPr>
          <w:lang w:val="pl-PL"/>
        </w:rPr>
        <w:t>Berdecka</w:t>
      </w:r>
      <w:proofErr w:type="spellEnd"/>
      <w:r w:rsidR="007D5575">
        <w:rPr>
          <w:lang w:val="pl-PL"/>
        </w:rPr>
        <w:t xml:space="preserve"> w znanej Pani </w:t>
      </w:r>
      <w:r w:rsidR="008E0CC7">
        <w:rPr>
          <w:lang w:val="pl-PL"/>
        </w:rPr>
        <w:t xml:space="preserve">mgr </w:t>
      </w:r>
      <w:r w:rsidR="008A7395">
        <w:rPr>
          <w:lang w:val="pl-PL"/>
        </w:rPr>
        <w:t xml:space="preserve">Klaudii </w:t>
      </w:r>
      <w:proofErr w:type="spellStart"/>
      <w:r w:rsidR="007D5575">
        <w:rPr>
          <w:lang w:val="pl-PL"/>
        </w:rPr>
        <w:t>Skrężynie</w:t>
      </w:r>
      <w:proofErr w:type="spellEnd"/>
      <w:r w:rsidR="007D5575">
        <w:rPr>
          <w:lang w:val="pl-PL"/>
        </w:rPr>
        <w:t xml:space="preserve"> pracy o zakładaniu miast królewskich w Małopolsce za Kazimierza Wielkiego.</w:t>
      </w:r>
      <w:r w:rsidR="007E626A">
        <w:rPr>
          <w:lang w:val="pl-PL"/>
        </w:rPr>
        <w:t xml:space="preserve"> </w:t>
      </w:r>
      <w:r w:rsidR="003107BF">
        <w:rPr>
          <w:lang w:val="pl-PL"/>
        </w:rPr>
        <w:t>Doktorantka</w:t>
      </w:r>
      <w:r w:rsidR="008A7395">
        <w:rPr>
          <w:lang w:val="pl-PL"/>
        </w:rPr>
        <w:t xml:space="preserve"> zmienia zdanie względem rodzaju łanów, którymi odmierzano teren pod założ</w:t>
      </w:r>
      <w:r w:rsidR="008A7395">
        <w:rPr>
          <w:lang w:val="pl-PL"/>
        </w:rPr>
        <w:t>e</w:t>
      </w:r>
      <w:r w:rsidR="008A7395">
        <w:rPr>
          <w:lang w:val="pl-PL"/>
        </w:rPr>
        <w:t>nie miasta w 1358 r. Na str. 30 mowa o łanie średzkim, zaś nieco dalej, na str. 34 wspomniane są łany frankońskie</w:t>
      </w:r>
      <w:r w:rsidR="008A7395">
        <w:rPr>
          <w:rStyle w:val="Odwoanieprzypisudolnego"/>
          <w:lang w:val="pl-PL"/>
        </w:rPr>
        <w:footnoteReference w:id="7"/>
      </w:r>
      <w:r w:rsidR="008A7395">
        <w:rPr>
          <w:lang w:val="pl-PL"/>
        </w:rPr>
        <w:t>.</w:t>
      </w:r>
      <w:r w:rsidR="00F95737">
        <w:rPr>
          <w:lang w:val="pl-PL"/>
        </w:rPr>
        <w:t xml:space="preserve"> </w:t>
      </w:r>
    </w:p>
    <w:p w:rsidR="00D262F5" w:rsidRDefault="003107BF">
      <w:pPr>
        <w:rPr>
          <w:lang w:val="pl-PL"/>
        </w:rPr>
      </w:pPr>
      <w:r>
        <w:rPr>
          <w:lang w:val="pl-PL"/>
        </w:rPr>
        <w:t xml:space="preserve">Ze wszech miar słusznie wiele miejsca poświęcono omówieniu </w:t>
      </w:r>
      <w:r w:rsidR="00F95737">
        <w:rPr>
          <w:lang w:val="pl-PL"/>
        </w:rPr>
        <w:t>ustroju miejskiego w XIV-XV w. Frapująca jest zauważona w przypisie 205 kwestia forum władnego do rozstrz</w:t>
      </w:r>
      <w:r w:rsidR="00F95737">
        <w:rPr>
          <w:lang w:val="pl-PL"/>
        </w:rPr>
        <w:t>y</w:t>
      </w:r>
      <w:r w:rsidR="00F95737">
        <w:rPr>
          <w:lang w:val="pl-PL"/>
        </w:rPr>
        <w:t>gania sporu miedzy słomnickimi mieszczanami w 1397</w:t>
      </w:r>
      <w:r w:rsidR="00B70538">
        <w:rPr>
          <w:lang w:val="pl-PL"/>
        </w:rPr>
        <w:t xml:space="preserve">[?] </w:t>
      </w:r>
      <w:r w:rsidR="00F95737">
        <w:rPr>
          <w:lang w:val="pl-PL"/>
        </w:rPr>
        <w:t>r. Autorka</w:t>
      </w:r>
      <w:r w:rsidR="002E55E0">
        <w:rPr>
          <w:lang w:val="pl-PL"/>
        </w:rPr>
        <w:t xml:space="preserve"> winna była jednak z</w:t>
      </w:r>
      <w:r w:rsidR="002E55E0">
        <w:rPr>
          <w:lang w:val="pl-PL"/>
        </w:rPr>
        <w:t>a</w:t>
      </w:r>
      <w:r w:rsidR="002E55E0">
        <w:rPr>
          <w:lang w:val="pl-PL"/>
        </w:rPr>
        <w:t>uważyć inną</w:t>
      </w:r>
      <w:r w:rsidR="00F95737">
        <w:rPr>
          <w:lang w:val="pl-PL"/>
        </w:rPr>
        <w:t xml:space="preserve"> niż jej własna opinię w tym </w:t>
      </w:r>
      <w:r w:rsidR="002E55E0">
        <w:rPr>
          <w:lang w:val="pl-PL"/>
        </w:rPr>
        <w:t>względzie</w:t>
      </w:r>
      <w:r w:rsidR="002E55E0">
        <w:rPr>
          <w:rStyle w:val="Odwoanieprzypisudolnego"/>
          <w:lang w:val="pl-PL"/>
        </w:rPr>
        <w:footnoteReference w:id="8"/>
      </w:r>
      <w:r w:rsidR="002E55E0">
        <w:rPr>
          <w:lang w:val="pl-PL"/>
        </w:rPr>
        <w:t>.</w:t>
      </w:r>
      <w:r w:rsidR="00612C3A">
        <w:rPr>
          <w:lang w:val="pl-PL"/>
        </w:rPr>
        <w:t xml:space="preserve"> Ciekawe są informacje o udziale Sło</w:t>
      </w:r>
      <w:r w:rsidR="00612C3A">
        <w:rPr>
          <w:lang w:val="pl-PL"/>
        </w:rPr>
        <w:t>m</w:t>
      </w:r>
      <w:r w:rsidR="00612C3A">
        <w:rPr>
          <w:lang w:val="pl-PL"/>
        </w:rPr>
        <w:t xml:space="preserve">nik w handlu solą, a omówioną w recenzowanej pracy </w:t>
      </w:r>
      <w:r w:rsidR="008E0CC7">
        <w:rPr>
          <w:lang w:val="pl-PL"/>
        </w:rPr>
        <w:t>doniosłość tego procederu potwierdz</w:t>
      </w:r>
      <w:r w:rsidR="008E0CC7">
        <w:rPr>
          <w:lang w:val="pl-PL"/>
        </w:rPr>
        <w:t>a</w:t>
      </w:r>
      <w:r w:rsidR="008E0CC7">
        <w:rPr>
          <w:lang w:val="pl-PL"/>
        </w:rPr>
        <w:lastRenderedPageBreak/>
        <w:t>ją wydane ostatnio szesnastowieczne rejestry komór celnych, których Doktorantka nie mogła wykorzystać</w:t>
      </w:r>
      <w:r w:rsidR="008E0CC7">
        <w:rPr>
          <w:rStyle w:val="Odwoanieprzypisudolnego"/>
          <w:lang w:val="pl-PL"/>
        </w:rPr>
        <w:footnoteReference w:id="9"/>
      </w:r>
      <w:r w:rsidR="008E0CC7">
        <w:rPr>
          <w:lang w:val="pl-PL"/>
        </w:rPr>
        <w:t xml:space="preserve">. </w:t>
      </w:r>
    </w:p>
    <w:p w:rsidR="008E0CC7" w:rsidRDefault="008E0CC7">
      <w:pPr>
        <w:rPr>
          <w:lang w:val="pl-PL"/>
        </w:rPr>
      </w:pPr>
      <w:r>
        <w:rPr>
          <w:lang w:val="pl-PL"/>
        </w:rPr>
        <w:t xml:space="preserve">Pani mgr Klaudia </w:t>
      </w:r>
      <w:proofErr w:type="spellStart"/>
      <w:r>
        <w:rPr>
          <w:lang w:val="pl-PL"/>
        </w:rPr>
        <w:t>Skrężyna</w:t>
      </w:r>
      <w:proofErr w:type="spellEnd"/>
      <w:r>
        <w:rPr>
          <w:lang w:val="pl-PL"/>
        </w:rPr>
        <w:t xml:space="preserve"> zauważa, iż niewielu słomniczan emigrowało do innych miast</w:t>
      </w:r>
      <w:r w:rsidR="00597A99">
        <w:rPr>
          <w:lang w:val="pl-PL"/>
        </w:rPr>
        <w:t xml:space="preserve">; przez cały piętnasty wiek tylko pięciu z nich zostało obywatelami Krakowa (str. 51). Szkoda jednak, że poprzestała na odnotowaniu tej skromnej liczby bez próby </w:t>
      </w:r>
      <w:r w:rsidR="0078209A">
        <w:rPr>
          <w:lang w:val="pl-PL"/>
        </w:rPr>
        <w:t>jej interpretacji. Niewielka</w:t>
      </w:r>
      <w:r w:rsidR="00597A99">
        <w:rPr>
          <w:lang w:val="pl-PL"/>
        </w:rPr>
        <w:t xml:space="preserve"> była też, jak zauważa Autorka</w:t>
      </w:r>
      <w:r w:rsidR="0078209A">
        <w:rPr>
          <w:lang w:val="pl-PL"/>
        </w:rPr>
        <w:t>,</w:t>
      </w:r>
      <w:r w:rsidR="00597A99">
        <w:rPr>
          <w:lang w:val="pl-PL"/>
        </w:rPr>
        <w:t xml:space="preserve"> liczba pochodzących stąd studentów krakowskiej </w:t>
      </w:r>
      <w:proofErr w:type="spellStart"/>
      <w:r w:rsidR="00597A99" w:rsidRPr="00597A99">
        <w:rPr>
          <w:i/>
          <w:lang w:val="pl-PL"/>
        </w:rPr>
        <w:t>alma</w:t>
      </w:r>
      <w:proofErr w:type="spellEnd"/>
      <w:r w:rsidR="00597A99" w:rsidRPr="00597A99">
        <w:rPr>
          <w:i/>
          <w:lang w:val="pl-PL"/>
        </w:rPr>
        <w:t xml:space="preserve"> </w:t>
      </w:r>
      <w:proofErr w:type="spellStart"/>
      <w:r w:rsidR="00597A99" w:rsidRPr="00597A99">
        <w:rPr>
          <w:i/>
          <w:lang w:val="pl-PL"/>
        </w:rPr>
        <w:t>mater</w:t>
      </w:r>
      <w:proofErr w:type="spellEnd"/>
      <w:r w:rsidR="00597A99">
        <w:rPr>
          <w:lang w:val="pl-PL"/>
        </w:rPr>
        <w:t xml:space="preserve">, choć można </w:t>
      </w:r>
      <w:r w:rsidR="0078209A">
        <w:rPr>
          <w:lang w:val="pl-PL"/>
        </w:rPr>
        <w:t xml:space="preserve">ją </w:t>
      </w:r>
      <w:r w:rsidR="00597A99">
        <w:rPr>
          <w:lang w:val="pl-PL"/>
        </w:rPr>
        <w:t xml:space="preserve">nieznacznie </w:t>
      </w:r>
      <w:r w:rsidR="00AF4F37">
        <w:rPr>
          <w:lang w:val="pl-PL"/>
        </w:rPr>
        <w:t>po</w:t>
      </w:r>
      <w:r w:rsidR="0078209A">
        <w:rPr>
          <w:lang w:val="pl-PL"/>
        </w:rPr>
        <w:t>dwyższyć</w:t>
      </w:r>
      <w:r w:rsidR="00AF4F37">
        <w:rPr>
          <w:lang w:val="pl-PL"/>
        </w:rPr>
        <w:t xml:space="preserve"> w oparciu o nowsze wydawnictwo niż wykorzystane w recenzowanej pracy</w:t>
      </w:r>
      <w:r w:rsidR="00AF4F37">
        <w:rPr>
          <w:rStyle w:val="Odwoanieprzypisudolnego"/>
          <w:lang w:val="pl-PL"/>
        </w:rPr>
        <w:footnoteReference w:id="10"/>
      </w:r>
      <w:r w:rsidR="00AF4F37">
        <w:rPr>
          <w:lang w:val="pl-PL"/>
        </w:rPr>
        <w:t xml:space="preserve">. Swego rodzaju podsumowaniem </w:t>
      </w:r>
      <w:r w:rsidR="00782DD8">
        <w:rPr>
          <w:lang w:val="pl-PL"/>
        </w:rPr>
        <w:t>opowieści o śr</w:t>
      </w:r>
      <w:r w:rsidR="00782DD8">
        <w:rPr>
          <w:lang w:val="pl-PL"/>
        </w:rPr>
        <w:t>e</w:t>
      </w:r>
      <w:r w:rsidR="00782DD8">
        <w:rPr>
          <w:lang w:val="pl-PL"/>
        </w:rPr>
        <w:t xml:space="preserve">dniowiecznych dziejach osady jest podrozdział </w:t>
      </w:r>
      <w:r w:rsidR="00782DD8" w:rsidRPr="00782DD8">
        <w:rPr>
          <w:i/>
          <w:lang w:val="pl-PL"/>
        </w:rPr>
        <w:t>Słomniki jako miasto królewskie</w:t>
      </w:r>
      <w:r w:rsidR="00782DD8">
        <w:rPr>
          <w:lang w:val="pl-PL"/>
        </w:rPr>
        <w:t xml:space="preserve">. Autorka słusznie ukazuje je w kontekście szerszej polityki Kazimierza Wielkiego, idąc głównie za ustaleniami Anny </w:t>
      </w:r>
      <w:proofErr w:type="spellStart"/>
      <w:r w:rsidR="00782DD8">
        <w:rPr>
          <w:lang w:val="pl-PL"/>
        </w:rPr>
        <w:t>Berdeckiej</w:t>
      </w:r>
      <w:proofErr w:type="spellEnd"/>
      <w:r w:rsidR="00782DD8">
        <w:rPr>
          <w:lang w:val="pl-PL"/>
        </w:rPr>
        <w:t>. Choć trudno zakwestionować opinię, że miasto było zapleczem dla Krakowa (str. 60), nie od rzeczy byłoby dopowiedzenie na czym ta zależność bliżej pol</w:t>
      </w:r>
      <w:r w:rsidR="00782DD8">
        <w:rPr>
          <w:lang w:val="pl-PL"/>
        </w:rPr>
        <w:t>e</w:t>
      </w:r>
      <w:r w:rsidR="00782DD8">
        <w:rPr>
          <w:lang w:val="pl-PL"/>
        </w:rPr>
        <w:t xml:space="preserve">gała. W następującym dalej rozdziale </w:t>
      </w:r>
      <w:r w:rsidR="007C6734">
        <w:rPr>
          <w:lang w:val="pl-PL"/>
        </w:rPr>
        <w:t xml:space="preserve">2, </w:t>
      </w:r>
      <w:r w:rsidR="00782DD8">
        <w:rPr>
          <w:lang w:val="pl-PL"/>
        </w:rPr>
        <w:t>ukazującym słomnicki klucz dóbr w średniowieczu</w:t>
      </w:r>
      <w:r w:rsidR="007C6734">
        <w:rPr>
          <w:lang w:val="pl-PL"/>
        </w:rPr>
        <w:t xml:space="preserve">, </w:t>
      </w:r>
      <w:r w:rsidR="00782DD8">
        <w:rPr>
          <w:lang w:val="pl-PL"/>
        </w:rPr>
        <w:t xml:space="preserve"> szczególnie cenne informacje dotyczą </w:t>
      </w:r>
      <w:r w:rsidR="00EF719E">
        <w:rPr>
          <w:lang w:val="pl-PL"/>
        </w:rPr>
        <w:t xml:space="preserve">polityki królewskiej </w:t>
      </w:r>
      <w:r w:rsidR="007C6734">
        <w:rPr>
          <w:lang w:val="pl-PL"/>
        </w:rPr>
        <w:t xml:space="preserve">nakierowanej na pozyskiwanie </w:t>
      </w:r>
      <w:r w:rsidR="00EF719E">
        <w:rPr>
          <w:lang w:val="pl-PL"/>
        </w:rPr>
        <w:t>zastawami docho</w:t>
      </w:r>
      <w:r w:rsidR="007C6734">
        <w:rPr>
          <w:lang w:val="pl-PL"/>
        </w:rPr>
        <w:t>dów</w:t>
      </w:r>
      <w:r w:rsidR="00EF719E">
        <w:rPr>
          <w:lang w:val="pl-PL"/>
        </w:rPr>
        <w:t xml:space="preserve"> i stronników. </w:t>
      </w:r>
      <w:r w:rsidR="007C6734">
        <w:rPr>
          <w:lang w:val="pl-PL"/>
        </w:rPr>
        <w:t>Tu również znajdujemy rzetelnie zebrane i klarownie w</w:t>
      </w:r>
      <w:r w:rsidR="007C6734">
        <w:rPr>
          <w:lang w:val="pl-PL"/>
        </w:rPr>
        <w:t>y</w:t>
      </w:r>
      <w:r w:rsidR="007C6734">
        <w:rPr>
          <w:lang w:val="pl-PL"/>
        </w:rPr>
        <w:t xml:space="preserve">łożone informacje o gospodarce w tych dobrach. </w:t>
      </w:r>
    </w:p>
    <w:p w:rsidR="00887393" w:rsidRDefault="00411357">
      <w:pPr>
        <w:rPr>
          <w:lang w:val="pl-PL"/>
        </w:rPr>
      </w:pPr>
      <w:r>
        <w:rPr>
          <w:lang w:val="pl-PL"/>
        </w:rPr>
        <w:t>Dzieje Słom</w:t>
      </w:r>
      <w:r w:rsidR="00887393">
        <w:rPr>
          <w:lang w:val="pl-PL"/>
        </w:rPr>
        <w:t xml:space="preserve">nik w okresie wczesnonowożytnym słusznie </w:t>
      </w:r>
      <w:r w:rsidR="008162D6">
        <w:rPr>
          <w:lang w:val="pl-PL"/>
        </w:rPr>
        <w:t>otwiera omówienie zaga</w:t>
      </w:r>
      <w:r w:rsidR="008162D6">
        <w:rPr>
          <w:lang w:val="pl-PL"/>
        </w:rPr>
        <w:t>d</w:t>
      </w:r>
      <w:r w:rsidR="008162D6">
        <w:rPr>
          <w:lang w:val="pl-PL"/>
        </w:rPr>
        <w:t xml:space="preserve">nień ustrojowych. Interesująca jest obserwacja Autorki, iż w drugiej połowie XVIII w. wiele kompetencji rady miejskiej przejął wójt, co w połączeniu z ukazanymi praktykami </w:t>
      </w:r>
      <w:r w:rsidR="00FD264C">
        <w:rPr>
          <w:lang w:val="pl-PL"/>
        </w:rPr>
        <w:t xml:space="preserve">lokalnych </w:t>
      </w:r>
      <w:r w:rsidR="008162D6">
        <w:rPr>
          <w:lang w:val="pl-PL"/>
        </w:rPr>
        <w:t>władz zdaje się świadczyć o osłabnięciu znaczenia miejskiego samorządu.</w:t>
      </w:r>
      <w:r>
        <w:rPr>
          <w:lang w:val="pl-PL"/>
        </w:rPr>
        <w:t xml:space="preserve"> </w:t>
      </w:r>
      <w:r w:rsidR="00EB7FE9">
        <w:rPr>
          <w:lang w:val="pl-PL"/>
        </w:rPr>
        <w:t xml:space="preserve">W innym miejscu (str. 103) </w:t>
      </w:r>
      <w:r w:rsidR="0078209A">
        <w:rPr>
          <w:lang w:val="pl-PL"/>
        </w:rPr>
        <w:t xml:space="preserve">Pani mgr Klaudia </w:t>
      </w:r>
      <w:proofErr w:type="spellStart"/>
      <w:r w:rsidR="0078209A">
        <w:rPr>
          <w:lang w:val="pl-PL"/>
        </w:rPr>
        <w:t>Skrężyna</w:t>
      </w:r>
      <w:proofErr w:type="spellEnd"/>
      <w:r w:rsidR="0078209A">
        <w:rPr>
          <w:lang w:val="pl-PL"/>
        </w:rPr>
        <w:t xml:space="preserve"> wzmiankuje </w:t>
      </w:r>
      <w:r w:rsidR="00EB7FE9">
        <w:rPr>
          <w:lang w:val="pl-PL"/>
        </w:rPr>
        <w:t>jednak szerokie kompetencje pospólstwa, co każe spytać</w:t>
      </w:r>
      <w:r w:rsidR="0078209A">
        <w:rPr>
          <w:lang w:val="pl-PL"/>
        </w:rPr>
        <w:t>,</w:t>
      </w:r>
      <w:r w:rsidR="00EB7FE9">
        <w:rPr>
          <w:lang w:val="pl-PL"/>
        </w:rPr>
        <w:t xml:space="preserve"> czy aby taka dość niezwykła w tej epoce szeroka demokracja miejska nie była bardziej pozorowana niż realna. N</w:t>
      </w:r>
      <w:r>
        <w:rPr>
          <w:lang w:val="pl-PL"/>
        </w:rPr>
        <w:t xml:space="preserve">ie zaskakują </w:t>
      </w:r>
      <w:r w:rsidR="00EB7FE9">
        <w:rPr>
          <w:lang w:val="pl-PL"/>
        </w:rPr>
        <w:t xml:space="preserve">natomiast </w:t>
      </w:r>
      <w:r>
        <w:rPr>
          <w:lang w:val="pl-PL"/>
        </w:rPr>
        <w:t xml:space="preserve">ustalenia, iż w końcu XVIII w. rajcy przejęli dochody należne pensjonariuszom miejscowego przytułku. Owo </w:t>
      </w:r>
      <w:r w:rsidRPr="005609AB">
        <w:rPr>
          <w:i/>
          <w:lang w:val="pl-PL"/>
        </w:rPr>
        <w:t>signum temporis</w:t>
      </w:r>
      <w:r>
        <w:rPr>
          <w:lang w:val="pl-PL"/>
        </w:rPr>
        <w:t xml:space="preserve">, świadczące o upadku nie tylko gospodarczym, ale także moralnym małomiasteczkowych elit, </w:t>
      </w:r>
      <w:r>
        <w:rPr>
          <w:lang w:val="pl-PL"/>
        </w:rPr>
        <w:lastRenderedPageBreak/>
        <w:t>potwierdzają nie tylko przykłady wyliczone przez Autorkę</w:t>
      </w:r>
      <w:r>
        <w:rPr>
          <w:rStyle w:val="Odwoanieprzypisudolnego"/>
          <w:lang w:val="pl-PL"/>
        </w:rPr>
        <w:footnoteReference w:id="11"/>
      </w:r>
      <w:r>
        <w:rPr>
          <w:lang w:val="pl-PL"/>
        </w:rPr>
        <w:t xml:space="preserve">. </w:t>
      </w:r>
      <w:r w:rsidR="003379D2">
        <w:rPr>
          <w:lang w:val="pl-PL"/>
        </w:rPr>
        <w:t xml:space="preserve">Nakreślone przez </w:t>
      </w:r>
      <w:r w:rsidR="00007FFD">
        <w:rPr>
          <w:lang w:val="pl-PL"/>
        </w:rPr>
        <w:t xml:space="preserve">Nią </w:t>
      </w:r>
      <w:r w:rsidR="003379D2">
        <w:rPr>
          <w:lang w:val="pl-PL"/>
        </w:rPr>
        <w:t xml:space="preserve">w tym rozdziale obyczaje i praktyki władzy administracyjnej i sądowniczej dość jednoznacznie </w:t>
      </w:r>
      <w:r w:rsidR="00F3022C">
        <w:rPr>
          <w:lang w:val="pl-PL"/>
        </w:rPr>
        <w:t>kr</w:t>
      </w:r>
      <w:r w:rsidR="00F3022C">
        <w:rPr>
          <w:lang w:val="pl-PL"/>
        </w:rPr>
        <w:t>e</w:t>
      </w:r>
      <w:r w:rsidR="00F3022C">
        <w:rPr>
          <w:lang w:val="pl-PL"/>
        </w:rPr>
        <w:t>ślą obraz lokalnych koterii, nad którymi stara się dominować wójt. Cenna jest więc w tym kontekście egzemplifikacja z</w:t>
      </w:r>
      <w:r w:rsidR="003B439D">
        <w:rPr>
          <w:lang w:val="pl-PL"/>
        </w:rPr>
        <w:t>e schyłku XVIII w.</w:t>
      </w:r>
      <w:r w:rsidR="00F3022C">
        <w:rPr>
          <w:lang w:val="pl-PL"/>
        </w:rPr>
        <w:t xml:space="preserve"> publicznej </w:t>
      </w:r>
      <w:r w:rsidR="003B439D">
        <w:rPr>
          <w:lang w:val="pl-PL"/>
        </w:rPr>
        <w:t xml:space="preserve">kontestacji </w:t>
      </w:r>
      <w:r w:rsidR="00F3022C">
        <w:rPr>
          <w:lang w:val="pl-PL"/>
        </w:rPr>
        <w:t>takiego porządku sp</w:t>
      </w:r>
      <w:r w:rsidR="00F3022C">
        <w:rPr>
          <w:lang w:val="pl-PL"/>
        </w:rPr>
        <w:t>o</w:t>
      </w:r>
      <w:r w:rsidR="00F3022C">
        <w:rPr>
          <w:lang w:val="pl-PL"/>
        </w:rPr>
        <w:t>łecz</w:t>
      </w:r>
      <w:r w:rsidR="00A21063">
        <w:rPr>
          <w:lang w:val="pl-PL"/>
        </w:rPr>
        <w:t>nego. Tak bowiem i</w:t>
      </w:r>
      <w:r w:rsidR="00F3022C">
        <w:rPr>
          <w:lang w:val="pl-PL"/>
        </w:rPr>
        <w:t xml:space="preserve">nterpretować wolno </w:t>
      </w:r>
      <w:r w:rsidR="00A21063">
        <w:rPr>
          <w:lang w:val="pl-PL"/>
        </w:rPr>
        <w:t>pokazanie sądowi miejskiemu sempiterny w r</w:t>
      </w:r>
      <w:r w:rsidR="00A21063">
        <w:rPr>
          <w:lang w:val="pl-PL"/>
        </w:rPr>
        <w:t>e</w:t>
      </w:r>
      <w:r w:rsidR="00A21063">
        <w:rPr>
          <w:lang w:val="pl-PL"/>
        </w:rPr>
        <w:t>akcji na werdykt, zaś z przytoczonego kontekstu domniemywać wolno, że jest to</w:t>
      </w:r>
      <w:r w:rsidR="00F3022C">
        <w:rPr>
          <w:lang w:val="pl-PL"/>
        </w:rPr>
        <w:t xml:space="preserve"> świadectwo </w:t>
      </w:r>
      <w:r w:rsidR="003B439D">
        <w:rPr>
          <w:lang w:val="pl-PL"/>
        </w:rPr>
        <w:t xml:space="preserve">szerszego </w:t>
      </w:r>
      <w:r w:rsidR="00A21063">
        <w:rPr>
          <w:lang w:val="pl-PL"/>
        </w:rPr>
        <w:t xml:space="preserve">lokalnego </w:t>
      </w:r>
      <w:r w:rsidR="003B439D">
        <w:rPr>
          <w:lang w:val="pl-PL"/>
        </w:rPr>
        <w:t>dyskursu (str. 97).</w:t>
      </w:r>
    </w:p>
    <w:p w:rsidR="003B439D" w:rsidRDefault="003B439D">
      <w:pPr>
        <w:rPr>
          <w:lang w:val="pl-PL"/>
        </w:rPr>
      </w:pPr>
      <w:r>
        <w:rPr>
          <w:lang w:val="pl-PL"/>
        </w:rPr>
        <w:t>Omawiając zagadnienia prawne Autorka wnioskuje na podstawie wydawanych w Słomnikach wyroków śmierci, iż miasto posiadało prawo mi</w:t>
      </w:r>
      <w:r w:rsidR="003910F0">
        <w:rPr>
          <w:lang w:val="pl-PL"/>
        </w:rPr>
        <w:t>ecza (str. 99). Nie jest to wykl</w:t>
      </w:r>
      <w:r w:rsidR="003910F0">
        <w:rPr>
          <w:lang w:val="pl-PL"/>
        </w:rPr>
        <w:t>u</w:t>
      </w:r>
      <w:r w:rsidR="003910F0">
        <w:rPr>
          <w:lang w:val="pl-PL"/>
        </w:rPr>
        <w:t>czone, choć wyroki mogły być wykonywane w innej miejscowości. Informacje o sprawach przeciwko domniemanym czarownicom wypa</w:t>
      </w:r>
      <w:r w:rsidR="00A21063">
        <w:rPr>
          <w:lang w:val="pl-PL"/>
        </w:rPr>
        <w:t>dało by skonfrontować z obszerną</w:t>
      </w:r>
      <w:r w:rsidR="003910F0">
        <w:rPr>
          <w:lang w:val="pl-PL"/>
        </w:rPr>
        <w:t xml:space="preserve"> literaturą przedmiotu</w:t>
      </w:r>
      <w:r w:rsidR="003910F0">
        <w:rPr>
          <w:rStyle w:val="Odwoanieprzypisudolnego"/>
          <w:lang w:val="pl-PL"/>
        </w:rPr>
        <w:footnoteReference w:id="12"/>
      </w:r>
      <w:r w:rsidR="003910F0">
        <w:rPr>
          <w:lang w:val="pl-PL"/>
        </w:rPr>
        <w:t>.</w:t>
      </w:r>
    </w:p>
    <w:p w:rsidR="008C1428" w:rsidRDefault="008C1428">
      <w:pPr>
        <w:rPr>
          <w:lang w:val="pl-PL"/>
        </w:rPr>
      </w:pPr>
      <w:r>
        <w:rPr>
          <w:lang w:val="pl-PL"/>
        </w:rPr>
        <w:t xml:space="preserve">Dobrze się stało, iż Autorka poświęciła nieco miejsca kancelarii i archiwum Słomnik, gdyż zagadnienia te bywają często pomijane w monografiach miast. Sporządzony w 1820 r. rejestr przywilejów miejskich winien jednak znaleźć sie w aneksie, aby nie rozbijać narracji. Na str. 121 mowa oczywiście o Warszawskim Archiwum Głównym Akt Dawnych, nie zaś o  AGAD w Kielcach. </w:t>
      </w:r>
    </w:p>
    <w:p w:rsidR="003B2B52" w:rsidRDefault="003B2B52">
      <w:pPr>
        <w:rPr>
          <w:lang w:val="pl-PL"/>
        </w:rPr>
      </w:pPr>
      <w:r>
        <w:rPr>
          <w:lang w:val="pl-PL"/>
        </w:rPr>
        <w:t>Mam wątpliwości, czy informacja, iż mieszczanie szukali polubownego rozwiązania sporu u dzierżawcy dóbr nie zaś w wielkorządach, może być świadectwem ograniczania s</w:t>
      </w:r>
      <w:r>
        <w:rPr>
          <w:lang w:val="pl-PL"/>
        </w:rPr>
        <w:t>a</w:t>
      </w:r>
      <w:r>
        <w:rPr>
          <w:lang w:val="pl-PL"/>
        </w:rPr>
        <w:t xml:space="preserve">morządu miejskiego, jak interpretuje to Autorka (str. 136). </w:t>
      </w:r>
      <w:r w:rsidR="00633644">
        <w:rPr>
          <w:lang w:val="pl-PL"/>
        </w:rPr>
        <w:t>Nie jest tu argumentem fakt</w:t>
      </w:r>
      <w:r w:rsidR="00B25949">
        <w:rPr>
          <w:lang w:val="pl-PL"/>
        </w:rPr>
        <w:t xml:space="preserve">, iż sąd </w:t>
      </w:r>
      <w:proofErr w:type="spellStart"/>
      <w:r w:rsidR="00B25949">
        <w:rPr>
          <w:lang w:val="pl-PL"/>
        </w:rPr>
        <w:t>wielkorządowy</w:t>
      </w:r>
      <w:proofErr w:type="spellEnd"/>
      <w:r w:rsidR="00B25949">
        <w:rPr>
          <w:lang w:val="pl-PL"/>
        </w:rPr>
        <w:t xml:space="preserve"> wyrażał dezaprobatę dla pomijania go jako instytucji odwoławczej. </w:t>
      </w:r>
    </w:p>
    <w:p w:rsidR="003B2B52" w:rsidRDefault="003B2B52">
      <w:pPr>
        <w:rPr>
          <w:lang w:val="pl-PL"/>
        </w:rPr>
      </w:pPr>
      <w:r>
        <w:rPr>
          <w:lang w:val="pl-PL"/>
        </w:rPr>
        <w:t xml:space="preserve">Rozdział 4: </w:t>
      </w:r>
      <w:r w:rsidRPr="003B2B52">
        <w:rPr>
          <w:i/>
          <w:lang w:val="pl-PL"/>
        </w:rPr>
        <w:t>Gospodarka miasta w okresie nowożytnym</w:t>
      </w:r>
      <w:r>
        <w:rPr>
          <w:lang w:val="pl-PL"/>
        </w:rPr>
        <w:t xml:space="preserve"> przynosi bogactwo informacji nie tylko z zakresu poszczególnyc</w:t>
      </w:r>
      <w:r w:rsidR="00633644">
        <w:rPr>
          <w:lang w:val="pl-PL"/>
        </w:rPr>
        <w:t>h gałęzi wytwórczości i</w:t>
      </w:r>
      <w:r>
        <w:rPr>
          <w:lang w:val="pl-PL"/>
        </w:rPr>
        <w:t xml:space="preserve"> handlu, ale także obserwacje dot</w:t>
      </w:r>
      <w:r>
        <w:rPr>
          <w:lang w:val="pl-PL"/>
        </w:rPr>
        <w:t>y</w:t>
      </w:r>
      <w:r>
        <w:rPr>
          <w:lang w:val="pl-PL"/>
        </w:rPr>
        <w:lastRenderedPageBreak/>
        <w:t>czące obyczajowości miejskiej, czy ściślej cechowej</w:t>
      </w:r>
      <w:r w:rsidR="00633644">
        <w:rPr>
          <w:rStyle w:val="Odwoanieprzypisudolnego"/>
          <w:lang w:val="pl-PL"/>
        </w:rPr>
        <w:footnoteReference w:id="13"/>
      </w:r>
      <w:r>
        <w:rPr>
          <w:lang w:val="pl-PL"/>
        </w:rPr>
        <w:t xml:space="preserve">. </w:t>
      </w:r>
      <w:r w:rsidR="0043110C">
        <w:rPr>
          <w:lang w:val="pl-PL"/>
        </w:rPr>
        <w:t xml:space="preserve">W przypisie 810 Pani mgr Klaudia </w:t>
      </w:r>
      <w:proofErr w:type="spellStart"/>
      <w:r w:rsidR="0043110C">
        <w:rPr>
          <w:lang w:val="pl-PL"/>
        </w:rPr>
        <w:t>Skrężyna</w:t>
      </w:r>
      <w:proofErr w:type="spellEnd"/>
      <w:r w:rsidR="0043110C">
        <w:rPr>
          <w:lang w:val="pl-PL"/>
        </w:rPr>
        <w:t xml:space="preserve"> zauważa, iż jednym z powodów lokacji Słomnik mógł być zamiar Kazimierza Wielkiego rozwinięcia tam produkcji sukienniczej. Hipotezę taką wypadało jednak skonfro</w:t>
      </w:r>
      <w:r w:rsidR="0043110C">
        <w:rPr>
          <w:lang w:val="pl-PL"/>
        </w:rPr>
        <w:t>n</w:t>
      </w:r>
      <w:r w:rsidR="0043110C">
        <w:rPr>
          <w:lang w:val="pl-PL"/>
        </w:rPr>
        <w:t xml:space="preserve">tować z ustaleniami zawartymi w rozprawie Jerzego </w:t>
      </w:r>
      <w:proofErr w:type="spellStart"/>
      <w:r w:rsidR="0043110C">
        <w:rPr>
          <w:lang w:val="pl-PL"/>
        </w:rPr>
        <w:t>Wyro</w:t>
      </w:r>
      <w:r w:rsidR="00633644">
        <w:rPr>
          <w:lang w:val="pl-PL"/>
        </w:rPr>
        <w:t>zumskiego</w:t>
      </w:r>
      <w:proofErr w:type="spellEnd"/>
      <w:r w:rsidR="00633644">
        <w:rPr>
          <w:lang w:val="pl-PL"/>
        </w:rPr>
        <w:t>, a nie ograniczać się</w:t>
      </w:r>
      <w:r w:rsidR="0043110C">
        <w:rPr>
          <w:lang w:val="pl-PL"/>
        </w:rPr>
        <w:t xml:space="preserve"> wyłącznie do wymienienia Jego książki w kolejnym przypisie. Autorka poniekąd przeczy własnej, skądinąd interesującej hipotezie, gdy stwierdza: „Wydaje się, że pod koniec XVIII w. Słomniki stały sie lokalnym ośrodkiem sukienniczym” (str. 149).</w:t>
      </w:r>
    </w:p>
    <w:p w:rsidR="00C75505" w:rsidRDefault="00C75505">
      <w:pPr>
        <w:rPr>
          <w:lang w:val="pl-PL"/>
        </w:rPr>
      </w:pPr>
      <w:r>
        <w:rPr>
          <w:lang w:val="pl-PL"/>
        </w:rPr>
        <w:t>Ważne są obserwacje dotyczące organizacji handlu miejskiego, także w kontekście t</w:t>
      </w:r>
      <w:r>
        <w:rPr>
          <w:lang w:val="pl-PL"/>
        </w:rPr>
        <w:t>a</w:t>
      </w:r>
      <w:r>
        <w:rPr>
          <w:lang w:val="pl-PL"/>
        </w:rPr>
        <w:t>kich związków Słomnik z Krakowem oraz kontaktów lokalnych kupców z innymi rynkami Małopolski. Doktorantka kilkakrotnie przywołuje ustalenia innych badaczy sugerujące rolę mniejszych ośrodków względem metropolii (</w:t>
      </w:r>
      <w:r w:rsidR="000B7B7B">
        <w:rPr>
          <w:lang w:val="pl-PL"/>
        </w:rPr>
        <w:t xml:space="preserve">m.in. </w:t>
      </w:r>
      <w:r>
        <w:rPr>
          <w:lang w:val="pl-PL"/>
        </w:rPr>
        <w:t xml:space="preserve">str. </w:t>
      </w:r>
      <w:r w:rsidR="00633644">
        <w:rPr>
          <w:lang w:val="pl-PL"/>
        </w:rPr>
        <w:t>166, 178). P</w:t>
      </w:r>
      <w:r w:rsidR="000B7B7B">
        <w:rPr>
          <w:lang w:val="pl-PL"/>
        </w:rPr>
        <w:t xml:space="preserve">owinny iść jednak </w:t>
      </w:r>
      <w:r w:rsidR="00633644">
        <w:rPr>
          <w:lang w:val="pl-PL"/>
        </w:rPr>
        <w:t xml:space="preserve">za tym </w:t>
      </w:r>
      <w:r w:rsidR="000B7B7B">
        <w:rPr>
          <w:lang w:val="pl-PL"/>
        </w:rPr>
        <w:t>konkretne przykłady lub wyraźne stwierdzenie oparte na wnioskowaniu pośrednim.</w:t>
      </w:r>
    </w:p>
    <w:p w:rsidR="000B7B7B" w:rsidRDefault="000B7B7B">
      <w:pPr>
        <w:rPr>
          <w:lang w:val="pl-PL"/>
        </w:rPr>
      </w:pPr>
      <w:r>
        <w:rPr>
          <w:lang w:val="pl-PL"/>
        </w:rPr>
        <w:t>Rozdział 6, w którym omówiono stosunki społeczne, otwiera charakterystyka dem</w:t>
      </w:r>
      <w:r>
        <w:rPr>
          <w:lang w:val="pl-PL"/>
        </w:rPr>
        <w:t>o</w:t>
      </w:r>
      <w:r>
        <w:rPr>
          <w:lang w:val="pl-PL"/>
        </w:rPr>
        <w:t>graficzna ludności miasta. Jest ona oparta głównie na inwentarzach skarbowych, zachow</w:t>
      </w:r>
      <w:r>
        <w:rPr>
          <w:lang w:val="pl-PL"/>
        </w:rPr>
        <w:t>a</w:t>
      </w:r>
      <w:r>
        <w:rPr>
          <w:lang w:val="pl-PL"/>
        </w:rPr>
        <w:t>nych w bogatym wyborze.</w:t>
      </w:r>
      <w:r w:rsidR="00961443">
        <w:rPr>
          <w:lang w:val="pl-PL"/>
        </w:rPr>
        <w:t xml:space="preserve"> Z </w:t>
      </w:r>
      <w:r w:rsidR="00BE0C2F">
        <w:rPr>
          <w:lang w:val="pl-PL"/>
        </w:rPr>
        <w:t xml:space="preserve">takich </w:t>
      </w:r>
      <w:r w:rsidR="00961443">
        <w:rPr>
          <w:lang w:val="pl-PL"/>
        </w:rPr>
        <w:t>rachunków wielkorządowych Autorka zaczerpnęła liczby płatników podatku od domów oraz</w:t>
      </w:r>
      <w:r w:rsidR="00E53F3C">
        <w:rPr>
          <w:lang w:val="pl-PL"/>
        </w:rPr>
        <w:t xml:space="preserve"> liczby komorników. Nie tłumaczy</w:t>
      </w:r>
      <w:r w:rsidR="00961443">
        <w:rPr>
          <w:lang w:val="pl-PL"/>
        </w:rPr>
        <w:t xml:space="preserve"> jednak, czy osobno opodatkowana ta ostatnia kategoria ludności to mieszkańcy os</w:t>
      </w:r>
      <w:r w:rsidR="00BE0C2F">
        <w:rPr>
          <w:lang w:val="pl-PL"/>
        </w:rPr>
        <w:t>obnych domostw, czy tylko oddzielne</w:t>
      </w:r>
      <w:r w:rsidR="00961443">
        <w:rPr>
          <w:lang w:val="pl-PL"/>
        </w:rPr>
        <w:t xml:space="preserve"> gospodarstwa w domach, których właściciele (lub dzierżawcy) opłacali miejski podatek. Jest to informacja bardzo istotna w świetle przyjętych mnożników, prowadzących do ustalenia ogólnej liczby ludności Słomnik. Nie wyja</w:t>
      </w:r>
      <w:r w:rsidR="00A076E3">
        <w:rPr>
          <w:lang w:val="pl-PL"/>
        </w:rPr>
        <w:t xml:space="preserve">śniono nadto, dlaczego pominięte zostały </w:t>
      </w:r>
      <w:r w:rsidR="00961443">
        <w:rPr>
          <w:lang w:val="pl-PL"/>
        </w:rPr>
        <w:t xml:space="preserve"> relatywnie wiarygodne spisy pogłównego generalnego z lat sześćdziesiątych i siedemdziesi</w:t>
      </w:r>
      <w:r w:rsidR="00961443">
        <w:rPr>
          <w:lang w:val="pl-PL"/>
        </w:rPr>
        <w:t>ą</w:t>
      </w:r>
      <w:r w:rsidR="00961443">
        <w:rPr>
          <w:lang w:val="pl-PL"/>
        </w:rPr>
        <w:t>tych XVII stulecia</w:t>
      </w:r>
      <w:r w:rsidR="00961443">
        <w:rPr>
          <w:rStyle w:val="Odwoanieprzypisudolnego"/>
          <w:lang w:val="pl-PL"/>
        </w:rPr>
        <w:footnoteReference w:id="14"/>
      </w:r>
      <w:r w:rsidR="00961443">
        <w:rPr>
          <w:lang w:val="pl-PL"/>
        </w:rPr>
        <w:t xml:space="preserve">. </w:t>
      </w:r>
      <w:r w:rsidR="00E53F3C">
        <w:rPr>
          <w:lang w:val="pl-PL"/>
        </w:rPr>
        <w:t>Wspomniane informacje z rachunków wielkorządowych wypadało sko</w:t>
      </w:r>
      <w:r w:rsidR="00E53F3C">
        <w:rPr>
          <w:lang w:val="pl-PL"/>
        </w:rPr>
        <w:t>n</w:t>
      </w:r>
      <w:r w:rsidR="00E53F3C">
        <w:rPr>
          <w:lang w:val="pl-PL"/>
        </w:rPr>
        <w:t xml:space="preserve">frontować z </w:t>
      </w:r>
      <w:r w:rsidR="002B3E1C">
        <w:rPr>
          <w:lang w:val="pl-PL"/>
        </w:rPr>
        <w:t>liczbami ujętymi w rejestrach poborowych z lat 1629, 1653-1655 oraz 1680</w:t>
      </w:r>
      <w:r w:rsidR="002B3E1C">
        <w:rPr>
          <w:rStyle w:val="Odwoanieprzypisudolnego"/>
          <w:lang w:val="pl-PL"/>
        </w:rPr>
        <w:footnoteReference w:id="15"/>
      </w:r>
      <w:r w:rsidR="002B3E1C">
        <w:rPr>
          <w:lang w:val="pl-PL"/>
        </w:rPr>
        <w:t xml:space="preserve">. </w:t>
      </w:r>
      <w:r w:rsidR="00D07C06">
        <w:rPr>
          <w:lang w:val="pl-PL"/>
        </w:rPr>
        <w:lastRenderedPageBreak/>
        <w:t>Po</w:t>
      </w:r>
      <w:r w:rsidR="00A076E3">
        <w:rPr>
          <w:lang w:val="pl-PL"/>
        </w:rPr>
        <w:t>dobnie dla wieku XVIII Autorka winna była</w:t>
      </w:r>
      <w:r w:rsidR="00D07C06">
        <w:rPr>
          <w:lang w:val="pl-PL"/>
        </w:rPr>
        <w:t xml:space="preserve"> wykorzystać liczby ludności ujęte w Tabelach Załuskiego</w:t>
      </w:r>
      <w:r w:rsidR="00A076E3">
        <w:rPr>
          <w:lang w:val="pl-PL"/>
        </w:rPr>
        <w:t>,</w:t>
      </w:r>
      <w:r w:rsidR="00D07C06">
        <w:rPr>
          <w:lang w:val="pl-PL"/>
        </w:rPr>
        <w:t xml:space="preserve"> protokołach wizytacji generalnej diecezji krakowskiej z lat 1747-49</w:t>
      </w:r>
      <w:r w:rsidR="00A076E3">
        <w:rPr>
          <w:lang w:val="pl-PL"/>
        </w:rPr>
        <w:t>, a nadto</w:t>
      </w:r>
      <w:r w:rsidR="00944E03">
        <w:rPr>
          <w:lang w:val="pl-PL"/>
        </w:rPr>
        <w:t xml:space="preserve"> spis ludności diecezji krakowskiej z 1787 r.</w:t>
      </w:r>
      <w:r w:rsidR="00D07C06">
        <w:rPr>
          <w:rStyle w:val="Odwoanieprzypisudolnego"/>
          <w:lang w:val="pl-PL"/>
        </w:rPr>
        <w:footnoteReference w:id="16"/>
      </w:r>
      <w:r w:rsidR="00E53F3C">
        <w:rPr>
          <w:lang w:val="pl-PL"/>
        </w:rPr>
        <w:t xml:space="preserve"> </w:t>
      </w:r>
    </w:p>
    <w:p w:rsidR="00A076E3" w:rsidRDefault="00DB4E01">
      <w:pPr>
        <w:rPr>
          <w:lang w:val="pl-PL"/>
        </w:rPr>
      </w:pPr>
      <w:r>
        <w:rPr>
          <w:lang w:val="pl-PL"/>
        </w:rPr>
        <w:t>Autorka słusznie zauważa, że brak znaczniejszego osadnictwa żydowskiego na bad</w:t>
      </w:r>
      <w:r>
        <w:rPr>
          <w:lang w:val="pl-PL"/>
        </w:rPr>
        <w:t>a</w:t>
      </w:r>
      <w:r>
        <w:rPr>
          <w:lang w:val="pl-PL"/>
        </w:rPr>
        <w:t xml:space="preserve">nym terenie nie musi wiązać się z posiadaniem (lub nieposiadaniem) przywileju </w:t>
      </w:r>
      <w:r w:rsidRPr="009C487C">
        <w:rPr>
          <w:i/>
          <w:lang w:val="pl-PL"/>
        </w:rPr>
        <w:t xml:space="preserve">de non </w:t>
      </w:r>
      <w:proofErr w:type="spellStart"/>
      <w:r w:rsidRPr="009C487C">
        <w:rPr>
          <w:i/>
          <w:lang w:val="pl-PL"/>
        </w:rPr>
        <w:t>tol</w:t>
      </w:r>
      <w:r w:rsidRPr="009C487C">
        <w:rPr>
          <w:i/>
          <w:lang w:val="pl-PL"/>
        </w:rPr>
        <w:t>e</w:t>
      </w:r>
      <w:r w:rsidRPr="009C487C">
        <w:rPr>
          <w:i/>
          <w:lang w:val="pl-PL"/>
        </w:rPr>
        <w:t>randis</w:t>
      </w:r>
      <w:proofErr w:type="spellEnd"/>
      <w:r w:rsidRPr="009C487C">
        <w:rPr>
          <w:i/>
          <w:lang w:val="pl-PL"/>
        </w:rPr>
        <w:t xml:space="preserve"> </w:t>
      </w:r>
      <w:proofErr w:type="spellStart"/>
      <w:r w:rsidRPr="009C487C">
        <w:rPr>
          <w:i/>
          <w:lang w:val="pl-PL"/>
        </w:rPr>
        <w:t>Jud</w:t>
      </w:r>
      <w:r w:rsidRPr="009C487C">
        <w:rPr>
          <w:rFonts w:cs="Times New Roman"/>
          <w:i/>
          <w:lang w:val="pl-PL"/>
        </w:rPr>
        <w:t>æ</w:t>
      </w:r>
      <w:r w:rsidRPr="009C487C">
        <w:rPr>
          <w:i/>
          <w:lang w:val="pl-PL"/>
        </w:rPr>
        <w:t>is</w:t>
      </w:r>
      <w:proofErr w:type="spellEnd"/>
      <w:r>
        <w:rPr>
          <w:lang w:val="pl-PL"/>
        </w:rPr>
        <w:t xml:space="preserve">. Stan ten tłumaczyć można dominacją pobliskiego Kazimierza lub też brakiem atrakcyjności Słomnik dla potencjalnych osadników tej nacji. Ustaleń Feliksa </w:t>
      </w:r>
      <w:proofErr w:type="spellStart"/>
      <w:r>
        <w:rPr>
          <w:lang w:val="pl-PL"/>
        </w:rPr>
        <w:t>Kiryka</w:t>
      </w:r>
      <w:proofErr w:type="spellEnd"/>
      <w:r>
        <w:rPr>
          <w:lang w:val="pl-PL"/>
        </w:rPr>
        <w:t xml:space="preserve"> o Ż</w:t>
      </w:r>
      <w:r>
        <w:rPr>
          <w:lang w:val="pl-PL"/>
        </w:rPr>
        <w:t>y</w:t>
      </w:r>
      <w:r>
        <w:rPr>
          <w:lang w:val="pl-PL"/>
        </w:rPr>
        <w:t>dach mieszkających w tym mieście w XVI stuleciu nie potwierdzają nowsze badania</w:t>
      </w:r>
      <w:r>
        <w:rPr>
          <w:rStyle w:val="Odwoanieprzypisudolnego"/>
          <w:lang w:val="pl-PL"/>
        </w:rPr>
        <w:footnoteReference w:id="17"/>
      </w:r>
      <w:r>
        <w:rPr>
          <w:lang w:val="pl-PL"/>
        </w:rPr>
        <w:t>.</w:t>
      </w:r>
      <w:r w:rsidR="00BE0466">
        <w:rPr>
          <w:lang w:val="pl-PL"/>
        </w:rPr>
        <w:t xml:space="preserve"> Int</w:t>
      </w:r>
      <w:r w:rsidR="00BE0466">
        <w:rPr>
          <w:lang w:val="pl-PL"/>
        </w:rPr>
        <w:t>e</w:t>
      </w:r>
      <w:r w:rsidR="00BE0466">
        <w:rPr>
          <w:lang w:val="pl-PL"/>
        </w:rPr>
        <w:t xml:space="preserve">resujące są uwagi Pani mgr Klaudii </w:t>
      </w:r>
      <w:proofErr w:type="spellStart"/>
      <w:r w:rsidR="00BE0466">
        <w:rPr>
          <w:lang w:val="pl-PL"/>
        </w:rPr>
        <w:t>Skrężyny</w:t>
      </w:r>
      <w:proofErr w:type="spellEnd"/>
      <w:r w:rsidR="00BE0466">
        <w:rPr>
          <w:lang w:val="pl-PL"/>
        </w:rPr>
        <w:t xml:space="preserve"> na temat miejscowych konwertytów z jud</w:t>
      </w:r>
      <w:r w:rsidR="00BE0466">
        <w:rPr>
          <w:lang w:val="pl-PL"/>
        </w:rPr>
        <w:t>a</w:t>
      </w:r>
      <w:r w:rsidR="00BE0466">
        <w:rPr>
          <w:lang w:val="pl-PL"/>
        </w:rPr>
        <w:t>izmu</w:t>
      </w:r>
      <w:r w:rsidR="00BE0466">
        <w:rPr>
          <w:rStyle w:val="Odwoanieprzypisudolnego"/>
          <w:lang w:val="pl-PL"/>
        </w:rPr>
        <w:footnoteReference w:id="18"/>
      </w:r>
      <w:r w:rsidR="00BE0466">
        <w:rPr>
          <w:lang w:val="pl-PL"/>
        </w:rPr>
        <w:t xml:space="preserve">. Hipoteza, jakoby obecność miejskich notabli podczas ceremonii ślubu udzielonego neofitce miała </w:t>
      </w:r>
      <w:r w:rsidR="00AD632D">
        <w:rPr>
          <w:lang w:val="pl-PL"/>
        </w:rPr>
        <w:t>być konsekwencją wymaganej</w:t>
      </w:r>
      <w:r w:rsidR="00BE0466">
        <w:rPr>
          <w:lang w:val="pl-PL"/>
        </w:rPr>
        <w:t xml:space="preserve"> ich zgodzie na przyjęcie tego sakramentu, jest bezpodstawna. Nie było to zdarzenie wyjątkowe, a interpretować je należy jako wyraz dumy</w:t>
      </w:r>
      <w:r w:rsidR="00AD632D">
        <w:rPr>
          <w:lang w:val="pl-PL"/>
        </w:rPr>
        <w:t xml:space="preserve"> z wyższości własnej religii oraz</w:t>
      </w:r>
      <w:r w:rsidR="00BE0466">
        <w:rPr>
          <w:lang w:val="pl-PL"/>
        </w:rPr>
        <w:t xml:space="preserve"> zapowiedź otoczenia nowożeńców opieką. Luteranka nie m</w:t>
      </w:r>
      <w:r w:rsidR="00BE0466">
        <w:rPr>
          <w:lang w:val="pl-PL"/>
        </w:rPr>
        <w:t>o</w:t>
      </w:r>
      <w:r w:rsidR="00BE0466">
        <w:rPr>
          <w:lang w:val="pl-PL"/>
        </w:rPr>
        <w:t>gła „ochrzcić się” w słomnickim kościele</w:t>
      </w:r>
      <w:r w:rsidR="00CA041E">
        <w:rPr>
          <w:lang w:val="pl-PL"/>
        </w:rPr>
        <w:t xml:space="preserve"> (str. 203-204)</w:t>
      </w:r>
      <w:r w:rsidR="00BE0466">
        <w:rPr>
          <w:lang w:val="pl-PL"/>
        </w:rPr>
        <w:t>, jeśli jej chrzest uzyskany w Zborze Ewangelicko-Augsburskim nie został uznany za nieważny. Było to więc, według wszelkiego prawdopodobieństwa, jedynie udzielenie absolucji od „herezji”</w:t>
      </w:r>
      <w:r w:rsidR="00662AF3">
        <w:rPr>
          <w:lang w:val="pl-PL"/>
        </w:rPr>
        <w:t>, gdyż tak zwyczajowo przy</w:t>
      </w:r>
      <w:r w:rsidR="00662AF3">
        <w:rPr>
          <w:lang w:val="pl-PL"/>
        </w:rPr>
        <w:t>j</w:t>
      </w:r>
      <w:r w:rsidR="00662AF3">
        <w:rPr>
          <w:lang w:val="pl-PL"/>
        </w:rPr>
        <w:t>mowano do Kościoła apostatów od wyznań ewangelickich</w:t>
      </w:r>
      <w:r w:rsidR="00BE0466">
        <w:rPr>
          <w:lang w:val="pl-PL"/>
        </w:rPr>
        <w:t xml:space="preserve">. </w:t>
      </w:r>
    </w:p>
    <w:p w:rsidR="00CA041E" w:rsidRDefault="00CA041E">
      <w:pPr>
        <w:rPr>
          <w:lang w:val="pl-PL"/>
        </w:rPr>
      </w:pPr>
      <w:r>
        <w:rPr>
          <w:lang w:val="pl-PL"/>
        </w:rPr>
        <w:t>Wielce ciekawe jest omówienie miejscowej obyczajowości oraz wpływu klęsk el</w:t>
      </w:r>
      <w:r>
        <w:rPr>
          <w:lang w:val="pl-PL"/>
        </w:rPr>
        <w:t>e</w:t>
      </w:r>
      <w:r>
        <w:rPr>
          <w:lang w:val="pl-PL"/>
        </w:rPr>
        <w:t>mentarnych</w:t>
      </w:r>
      <w:r w:rsidR="00662AF3">
        <w:rPr>
          <w:lang w:val="pl-PL"/>
        </w:rPr>
        <w:t xml:space="preserve"> na codzienność</w:t>
      </w:r>
      <w:r>
        <w:rPr>
          <w:lang w:val="pl-PL"/>
        </w:rPr>
        <w:t xml:space="preserve"> mieszkańców</w:t>
      </w:r>
      <w:r w:rsidR="00662AF3" w:rsidRPr="00662AF3">
        <w:rPr>
          <w:lang w:val="pl-PL"/>
        </w:rPr>
        <w:t xml:space="preserve"> </w:t>
      </w:r>
      <w:r w:rsidR="00662AF3">
        <w:rPr>
          <w:lang w:val="pl-PL"/>
        </w:rPr>
        <w:t>Słomnik</w:t>
      </w:r>
      <w:r>
        <w:rPr>
          <w:lang w:val="pl-PL"/>
        </w:rPr>
        <w:t xml:space="preserve">. W ścisłym związku z </w:t>
      </w:r>
      <w:r w:rsidR="00662AF3">
        <w:rPr>
          <w:lang w:val="pl-PL"/>
        </w:rPr>
        <w:t xml:space="preserve">ich </w:t>
      </w:r>
      <w:r>
        <w:rPr>
          <w:lang w:val="pl-PL"/>
        </w:rPr>
        <w:t>życiem poz</w:t>
      </w:r>
      <w:r>
        <w:rPr>
          <w:lang w:val="pl-PL"/>
        </w:rPr>
        <w:t>o</w:t>
      </w:r>
      <w:r>
        <w:rPr>
          <w:lang w:val="pl-PL"/>
        </w:rPr>
        <w:t>stawała aktywność lokalnego Kościoła i jego instytucji (szpital, szkoła). Uściślijmy, iż w</w:t>
      </w:r>
      <w:r>
        <w:rPr>
          <w:lang w:val="pl-PL"/>
        </w:rPr>
        <w:t>e</w:t>
      </w:r>
      <w:r>
        <w:rPr>
          <w:lang w:val="pl-PL"/>
        </w:rPr>
        <w:t>zwanie św. Bartłomieja miejscowa fara nosiła już przed 1529 r.</w:t>
      </w:r>
      <w:r>
        <w:rPr>
          <w:rStyle w:val="Odwoanieprzypisudolnego"/>
          <w:lang w:val="pl-PL"/>
        </w:rPr>
        <w:footnoteReference w:id="19"/>
      </w:r>
      <w:r>
        <w:rPr>
          <w:lang w:val="pl-PL"/>
        </w:rPr>
        <w:t xml:space="preserve"> </w:t>
      </w:r>
      <w:r w:rsidR="008D52B7">
        <w:rPr>
          <w:lang w:val="pl-PL"/>
        </w:rPr>
        <w:t xml:space="preserve">Autorka dostrzega przede </w:t>
      </w:r>
      <w:r w:rsidR="008D52B7">
        <w:rPr>
          <w:lang w:val="pl-PL"/>
        </w:rPr>
        <w:lastRenderedPageBreak/>
        <w:t>wszystkim związki natury gospodarczej</w:t>
      </w:r>
      <w:r>
        <w:rPr>
          <w:lang w:val="pl-PL"/>
        </w:rPr>
        <w:t xml:space="preserve"> </w:t>
      </w:r>
      <w:r w:rsidR="008D52B7">
        <w:rPr>
          <w:lang w:val="pl-PL"/>
        </w:rPr>
        <w:t>miedzy mieszczanami a lokalnym duchowie</w:t>
      </w:r>
      <w:r w:rsidR="008D52B7">
        <w:rPr>
          <w:lang w:val="pl-PL"/>
        </w:rPr>
        <w:t>ń</w:t>
      </w:r>
      <w:r w:rsidR="008D52B7">
        <w:rPr>
          <w:lang w:val="pl-PL"/>
        </w:rPr>
        <w:t>stwem</w:t>
      </w:r>
      <w:r w:rsidR="008D52B7">
        <w:rPr>
          <w:rStyle w:val="Odwoanieprzypisudolnego"/>
          <w:lang w:val="pl-PL"/>
        </w:rPr>
        <w:footnoteReference w:id="20"/>
      </w:r>
      <w:r w:rsidR="008D52B7">
        <w:rPr>
          <w:lang w:val="pl-PL"/>
        </w:rPr>
        <w:t>, co w świetle choćby akt wizytacyjnych czy ksiąg metrykalnych nie wyczerpuje t</w:t>
      </w:r>
      <w:r w:rsidR="008D52B7">
        <w:rPr>
          <w:lang w:val="pl-PL"/>
        </w:rPr>
        <w:t>e</w:t>
      </w:r>
      <w:r w:rsidR="008D52B7">
        <w:rPr>
          <w:lang w:val="pl-PL"/>
        </w:rPr>
        <w:t xml:space="preserve">matu. </w:t>
      </w:r>
      <w:r w:rsidR="00662AF3">
        <w:rPr>
          <w:lang w:val="pl-PL"/>
        </w:rPr>
        <w:t>Przyznać jednak wypada, iż bliższa charakterystyka życia religijnego słomnickiej par</w:t>
      </w:r>
      <w:r w:rsidR="00662AF3">
        <w:rPr>
          <w:lang w:val="pl-PL"/>
        </w:rPr>
        <w:t>a</w:t>
      </w:r>
      <w:r w:rsidR="00662AF3">
        <w:rPr>
          <w:lang w:val="pl-PL"/>
        </w:rPr>
        <w:t xml:space="preserve">fii byłaby znaczącym wykroczeniem poza przyjęte ramy opracowania. </w:t>
      </w:r>
      <w:r w:rsidR="008D52B7">
        <w:rPr>
          <w:lang w:val="pl-PL"/>
        </w:rPr>
        <w:t xml:space="preserve">Informacje o szkole parafialnej nie pochodzą, jak stwierdza Doktorantka, wyłącznie z protokołów wizytacyjnych i są starsze niż schyłek XVI stulecia. </w:t>
      </w:r>
      <w:r w:rsidR="00BB6325">
        <w:rPr>
          <w:lang w:val="pl-PL"/>
        </w:rPr>
        <w:t>Instytucja taka czynna była tam już najpewniej przynaj</w:t>
      </w:r>
      <w:r w:rsidR="00BB6325">
        <w:rPr>
          <w:lang w:val="pl-PL"/>
        </w:rPr>
        <w:t>m</w:t>
      </w:r>
      <w:r w:rsidR="00BB6325">
        <w:rPr>
          <w:lang w:val="pl-PL"/>
        </w:rPr>
        <w:t>niej u schyłku wieków średnich, zaś jeden z jej nauczycieli zasłużył się dla promocji luteran</w:t>
      </w:r>
      <w:r w:rsidR="00BB6325">
        <w:rPr>
          <w:lang w:val="pl-PL"/>
        </w:rPr>
        <w:t>i</w:t>
      </w:r>
      <w:r w:rsidR="00BB6325">
        <w:rPr>
          <w:lang w:val="pl-PL"/>
        </w:rPr>
        <w:t>zmu</w:t>
      </w:r>
      <w:r w:rsidR="00BB6325">
        <w:rPr>
          <w:rStyle w:val="Odwoanieprzypisudolnego"/>
          <w:lang w:val="pl-PL"/>
        </w:rPr>
        <w:footnoteReference w:id="21"/>
      </w:r>
      <w:r w:rsidR="00BB6325">
        <w:rPr>
          <w:lang w:val="pl-PL"/>
        </w:rPr>
        <w:t>.</w:t>
      </w:r>
      <w:r w:rsidR="00782E2E">
        <w:rPr>
          <w:lang w:val="pl-PL"/>
        </w:rPr>
        <w:t xml:space="preserve"> Fakt, iż na przełomie XVI/XVII stulecia, w przeciągu czterech dekad, jedynie dwóch mieszczańskich synów wybrało stan duchowny</w:t>
      </w:r>
      <w:r w:rsidR="00060545">
        <w:rPr>
          <w:rStyle w:val="Odwoanieprzypisudolnego"/>
          <w:lang w:val="pl-PL"/>
        </w:rPr>
        <w:footnoteReference w:id="22"/>
      </w:r>
      <w:r w:rsidR="00782E2E">
        <w:rPr>
          <w:lang w:val="pl-PL"/>
        </w:rPr>
        <w:t xml:space="preserve"> można zapewne hipotetycznie łączyć z wpływami Reformacji w tym regionie. Brak jednak podstaw, aby zakładać istnienie w mi</w:t>
      </w:r>
      <w:r w:rsidR="00782E2E">
        <w:rPr>
          <w:lang w:val="pl-PL"/>
        </w:rPr>
        <w:t>a</w:t>
      </w:r>
      <w:r w:rsidR="00782E2E">
        <w:rPr>
          <w:lang w:val="pl-PL"/>
        </w:rPr>
        <w:t>stec</w:t>
      </w:r>
      <w:r w:rsidR="00782E2E">
        <w:rPr>
          <w:lang w:val="pl-PL"/>
        </w:rPr>
        <w:t>z</w:t>
      </w:r>
      <w:r w:rsidR="00782E2E">
        <w:rPr>
          <w:lang w:val="pl-PL"/>
        </w:rPr>
        <w:t>ku ewangelickiego zboru</w:t>
      </w:r>
      <w:r w:rsidR="00546B09">
        <w:rPr>
          <w:lang w:val="pl-PL"/>
        </w:rPr>
        <w:t xml:space="preserve"> (str. 228)</w:t>
      </w:r>
      <w:r w:rsidR="00546B09">
        <w:rPr>
          <w:rStyle w:val="Odwoanieprzypisudolnego"/>
          <w:lang w:val="pl-PL"/>
        </w:rPr>
        <w:footnoteReference w:id="23"/>
      </w:r>
      <w:r w:rsidR="00782E2E">
        <w:rPr>
          <w:lang w:val="pl-PL"/>
        </w:rPr>
        <w:t xml:space="preserve">.  </w:t>
      </w:r>
    </w:p>
    <w:p w:rsidR="00375BB4" w:rsidRDefault="001B0D7B">
      <w:pPr>
        <w:rPr>
          <w:lang w:val="pl-PL"/>
        </w:rPr>
      </w:pPr>
      <w:r>
        <w:rPr>
          <w:lang w:val="pl-PL"/>
        </w:rPr>
        <w:t>Sumując powyższe uwagi podkreślić trzeba bardziej zwartą narrację, gdy Autorka omawia wieki średnie. Wynika to zapewne m.in. z bardziej ograniczonej niż ma to miejsce w odniesieniu do wczesnej nowożytności podstawy źródłowej. W części „nowożytnej” stosu</w:t>
      </w:r>
      <w:r>
        <w:rPr>
          <w:lang w:val="pl-PL"/>
        </w:rPr>
        <w:t>n</w:t>
      </w:r>
      <w:r>
        <w:rPr>
          <w:lang w:val="pl-PL"/>
        </w:rPr>
        <w:t xml:space="preserve">kowo </w:t>
      </w:r>
      <w:r w:rsidR="00B63D2C">
        <w:rPr>
          <w:lang w:val="pl-PL"/>
        </w:rPr>
        <w:t>najpoprawniej referowane są</w:t>
      </w:r>
      <w:r>
        <w:rPr>
          <w:lang w:val="pl-PL"/>
        </w:rPr>
        <w:t xml:space="preserve"> zagadnienia </w:t>
      </w:r>
      <w:r w:rsidR="006925C8">
        <w:rPr>
          <w:lang w:val="pl-PL"/>
        </w:rPr>
        <w:t>społeczno-gospodarcze. Ilustracją może być tu</w:t>
      </w:r>
      <w:r w:rsidR="001D1371">
        <w:rPr>
          <w:lang w:val="pl-PL"/>
        </w:rPr>
        <w:t xml:space="preserve"> solidnie opracowana taka aktywność ludności zamieszkującej tereny wiejskie prezentow</w:t>
      </w:r>
      <w:r w:rsidR="001D1371">
        <w:rPr>
          <w:lang w:val="pl-PL"/>
        </w:rPr>
        <w:t>a</w:t>
      </w:r>
      <w:r w:rsidR="001D1371">
        <w:rPr>
          <w:lang w:val="pl-PL"/>
        </w:rPr>
        <w:t>ne</w:t>
      </w:r>
      <w:r w:rsidR="00B81DA4">
        <w:rPr>
          <w:lang w:val="pl-PL"/>
        </w:rPr>
        <w:t>go</w:t>
      </w:r>
      <w:r w:rsidR="001D1371">
        <w:rPr>
          <w:lang w:val="pl-PL"/>
        </w:rPr>
        <w:t xml:space="preserve"> klucza dóbr</w:t>
      </w:r>
      <w:r w:rsidR="00B81DA4">
        <w:rPr>
          <w:lang w:val="pl-PL"/>
        </w:rPr>
        <w:t xml:space="preserve"> (rozdziały 10 i 11)</w:t>
      </w:r>
      <w:r w:rsidR="001D1371">
        <w:rPr>
          <w:lang w:val="pl-PL"/>
        </w:rPr>
        <w:t>. Mimo wszystkich zamieszczonych wyżej uwag dysk</w:t>
      </w:r>
      <w:r w:rsidR="001D1371">
        <w:rPr>
          <w:lang w:val="pl-PL"/>
        </w:rPr>
        <w:t>u</w:t>
      </w:r>
      <w:r w:rsidR="001D1371">
        <w:rPr>
          <w:lang w:val="pl-PL"/>
        </w:rPr>
        <w:t xml:space="preserve">syjnych </w:t>
      </w:r>
      <w:r w:rsidR="00B81DA4">
        <w:rPr>
          <w:lang w:val="pl-PL"/>
        </w:rPr>
        <w:t xml:space="preserve">oraz propozycji korekt </w:t>
      </w:r>
      <w:r w:rsidR="001D1371">
        <w:rPr>
          <w:lang w:val="pl-PL"/>
        </w:rPr>
        <w:t>jestem przekonany, że jest to praca potrzebna, która dobrze służy pomnożeniu naszej wiedzy o staropolskiej przeszłości Małopolski.</w:t>
      </w:r>
      <w:r w:rsidR="000C1BE5">
        <w:rPr>
          <w:lang w:val="pl-PL"/>
        </w:rPr>
        <w:t xml:space="preserve"> Dlatego </w:t>
      </w:r>
      <w:r w:rsidR="006925C8">
        <w:rPr>
          <w:lang w:val="pl-PL"/>
        </w:rPr>
        <w:t>jej najba</w:t>
      </w:r>
      <w:r w:rsidR="006925C8">
        <w:rPr>
          <w:lang w:val="pl-PL"/>
        </w:rPr>
        <w:t>r</w:t>
      </w:r>
      <w:r w:rsidR="006925C8">
        <w:rPr>
          <w:lang w:val="pl-PL"/>
        </w:rPr>
        <w:t>dziej wartościowe poznawczo fragmenty powinny</w:t>
      </w:r>
      <w:r w:rsidR="000C1BE5">
        <w:rPr>
          <w:lang w:val="pl-PL"/>
        </w:rPr>
        <w:t xml:space="preserve"> zostać opubli</w:t>
      </w:r>
      <w:r w:rsidR="006925C8">
        <w:rPr>
          <w:lang w:val="pl-PL"/>
        </w:rPr>
        <w:t>kowane</w:t>
      </w:r>
      <w:r w:rsidR="000C1BE5">
        <w:rPr>
          <w:lang w:val="pl-PL"/>
        </w:rPr>
        <w:t xml:space="preserve">. Wcześniej jednak należy przedstawiony rękopis oczyścić z, niestety, </w:t>
      </w:r>
      <w:r w:rsidR="006925C8">
        <w:rPr>
          <w:lang w:val="pl-PL"/>
        </w:rPr>
        <w:t xml:space="preserve">bardzo </w:t>
      </w:r>
      <w:r w:rsidR="000C1BE5">
        <w:rPr>
          <w:lang w:val="pl-PL"/>
        </w:rPr>
        <w:t xml:space="preserve">licznych błędów stylu. </w:t>
      </w:r>
    </w:p>
    <w:p w:rsidR="00B81DA4" w:rsidRDefault="00B81DA4">
      <w:pPr>
        <w:rPr>
          <w:lang w:val="pl-PL"/>
        </w:rPr>
      </w:pPr>
      <w:r>
        <w:rPr>
          <w:lang w:val="pl-PL"/>
        </w:rPr>
        <w:lastRenderedPageBreak/>
        <w:t>W konkluzji stwierdzam, że praca (mimo pewnych niedociągnięć) dowodzi znajom</w:t>
      </w:r>
      <w:r>
        <w:rPr>
          <w:lang w:val="pl-PL"/>
        </w:rPr>
        <w:t>o</w:t>
      </w:r>
      <w:r>
        <w:rPr>
          <w:lang w:val="pl-PL"/>
        </w:rPr>
        <w:t>ści warsztatu badawczego historyka oczekiwanego na tym poziomie rozwoju naukowego. Jest też cennym i oryginalnym wkładem do nauki historycznej. Tym samym przedstawione opr</w:t>
      </w:r>
      <w:r>
        <w:rPr>
          <w:lang w:val="pl-PL"/>
        </w:rPr>
        <w:t>a</w:t>
      </w:r>
      <w:r>
        <w:rPr>
          <w:lang w:val="pl-PL"/>
        </w:rPr>
        <w:t>cowanie spełnia wymagania stawiane rozprawom doktorskim i dlatego wnioskuję o dopus</w:t>
      </w:r>
      <w:r>
        <w:rPr>
          <w:lang w:val="pl-PL"/>
        </w:rPr>
        <w:t>z</w:t>
      </w:r>
      <w:r>
        <w:rPr>
          <w:lang w:val="pl-PL"/>
        </w:rPr>
        <w:t xml:space="preserve">czenie Pani mgr Klaudii </w:t>
      </w:r>
      <w:proofErr w:type="spellStart"/>
      <w:r>
        <w:rPr>
          <w:lang w:val="pl-PL"/>
        </w:rPr>
        <w:t>Skrężyny</w:t>
      </w:r>
      <w:proofErr w:type="spellEnd"/>
      <w:r>
        <w:rPr>
          <w:lang w:val="pl-PL"/>
        </w:rPr>
        <w:t xml:space="preserve"> do dalszych etapów w trwającym przewodzie doktorskim. </w:t>
      </w:r>
    </w:p>
    <w:p w:rsidR="006925C8" w:rsidRDefault="006925C8">
      <w:pPr>
        <w:rPr>
          <w:lang w:val="pl-PL"/>
        </w:rPr>
      </w:pPr>
    </w:p>
    <w:p w:rsidR="006925C8" w:rsidRDefault="006925C8" w:rsidP="006925C8">
      <w:pPr>
        <w:framePr w:h="782" w:hSpace="38" w:wrap="auto" w:vAnchor="text" w:hAnchor="text" w:x="5027" w:y="1"/>
      </w:pPr>
      <w:r>
        <w:rPr>
          <w:noProof/>
          <w:lang w:val="pl-PL" w:eastAsia="pl-PL"/>
        </w:rPr>
        <w:drawing>
          <wp:inline distT="0" distB="0" distL="0" distR="0">
            <wp:extent cx="2597150" cy="4972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C8" w:rsidRPr="00D262F5" w:rsidRDefault="006925C8">
      <w:pPr>
        <w:rPr>
          <w:lang w:val="pl-PL"/>
        </w:rPr>
      </w:pPr>
    </w:p>
    <w:sectPr w:rsidR="006925C8" w:rsidRPr="00D262F5" w:rsidSect="00F2321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65" w:rsidRDefault="004B7065" w:rsidP="00221994">
      <w:pPr>
        <w:spacing w:after="0" w:line="240" w:lineRule="auto"/>
      </w:pPr>
      <w:r>
        <w:separator/>
      </w:r>
    </w:p>
  </w:endnote>
  <w:endnote w:type="continuationSeparator" w:id="0">
    <w:p w:rsidR="004B7065" w:rsidRDefault="004B7065" w:rsidP="0022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65" w:rsidRDefault="004B7065" w:rsidP="00221994">
      <w:pPr>
        <w:spacing w:after="0" w:line="240" w:lineRule="auto"/>
      </w:pPr>
      <w:r>
        <w:separator/>
      </w:r>
    </w:p>
  </w:footnote>
  <w:footnote w:type="continuationSeparator" w:id="0">
    <w:p w:rsidR="004B7065" w:rsidRDefault="004B7065" w:rsidP="00221994">
      <w:pPr>
        <w:spacing w:after="0" w:line="240" w:lineRule="auto"/>
      </w:pPr>
      <w:r>
        <w:continuationSeparator/>
      </w:r>
    </w:p>
  </w:footnote>
  <w:footnote w:id="1">
    <w:p w:rsidR="00782E2E" w:rsidRPr="00221994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21994">
        <w:rPr>
          <w:lang w:val="pl-PL"/>
        </w:rPr>
        <w:t xml:space="preserve"> </w:t>
      </w:r>
      <w:r>
        <w:rPr>
          <w:lang w:val="pl-PL"/>
        </w:rPr>
        <w:t xml:space="preserve">M.in. J. Topolski, </w:t>
      </w:r>
      <w:r w:rsidRPr="00006D7C">
        <w:rPr>
          <w:i/>
          <w:lang w:val="pl-PL"/>
        </w:rPr>
        <w:t>O pojęciu i funkcjach historycznych monografii regionalnych</w:t>
      </w:r>
      <w:r>
        <w:rPr>
          <w:lang w:val="pl-PL"/>
        </w:rPr>
        <w:t xml:space="preserve">, „Komunikaty Mazursko-Warmińskie”, 2 (1978): 171-179; Z. Guldon, </w:t>
      </w:r>
      <w:r w:rsidRPr="00006D7C">
        <w:rPr>
          <w:i/>
          <w:lang w:val="pl-PL"/>
        </w:rPr>
        <w:t>Historyczne badania regionalne i lokalne</w:t>
      </w:r>
      <w:r>
        <w:rPr>
          <w:lang w:val="pl-PL"/>
        </w:rPr>
        <w:t xml:space="preserve">, „Rocznik Muzeum Narodowego w Kielcach”, 12 (1982): 11-25; H. Samsonowicz, </w:t>
      </w:r>
      <w:r w:rsidRPr="00006D7C">
        <w:rPr>
          <w:i/>
          <w:lang w:val="pl-PL"/>
        </w:rPr>
        <w:t>Historia regionalna</w:t>
      </w:r>
      <w:r>
        <w:rPr>
          <w:lang w:val="pl-PL"/>
        </w:rPr>
        <w:t xml:space="preserve">, „Małopolska”, 13 (2011): 11-16. </w:t>
      </w:r>
    </w:p>
  </w:footnote>
  <w:footnote w:id="2">
    <w:p w:rsidR="00782E2E" w:rsidRPr="006E2B6D" w:rsidRDefault="00782E2E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6E2B6D">
        <w:rPr>
          <w:lang w:val="en-US"/>
        </w:rPr>
        <w:t xml:space="preserve"> </w:t>
      </w:r>
      <w:r w:rsidRPr="006E2B6D">
        <w:rPr>
          <w:i/>
          <w:iCs/>
          <w:lang w:val="en-US"/>
        </w:rPr>
        <w:t>Urban Societies in East-Central Europe, 1500–1700</w:t>
      </w:r>
      <w:r>
        <w:rPr>
          <w:iCs/>
          <w:lang w:val="en-US"/>
        </w:rPr>
        <w:t xml:space="preserve">, </w:t>
      </w:r>
      <w:proofErr w:type="spellStart"/>
      <w:r w:rsidRPr="006E2B6D">
        <w:rPr>
          <w:lang w:val="en-US"/>
        </w:rPr>
        <w:t>Aldershot</w:t>
      </w:r>
      <w:proofErr w:type="spellEnd"/>
      <w:r>
        <w:rPr>
          <w:lang w:val="en-US"/>
        </w:rPr>
        <w:t xml:space="preserve"> 2008.</w:t>
      </w:r>
    </w:p>
  </w:footnote>
  <w:footnote w:id="3">
    <w:p w:rsidR="00782E2E" w:rsidRPr="004310C2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310C2">
        <w:rPr>
          <w:lang w:val="pl-PL"/>
        </w:rPr>
        <w:t xml:space="preserve"> </w:t>
      </w:r>
      <w:r>
        <w:rPr>
          <w:lang w:val="pl-PL"/>
        </w:rPr>
        <w:t xml:space="preserve">Mapę taką sporządzić można było bez trudu wykorzystując </w:t>
      </w:r>
      <w:r w:rsidRPr="0033795A">
        <w:rPr>
          <w:i/>
          <w:lang w:val="pl-PL"/>
        </w:rPr>
        <w:t>Atlas historyczny Polski, Mapy szczegółowe XVI wieku</w:t>
      </w:r>
      <w:r>
        <w:rPr>
          <w:lang w:val="pl-PL"/>
        </w:rPr>
        <w:t xml:space="preserve">, </w:t>
      </w:r>
      <w:r w:rsidRPr="0033795A">
        <w:rPr>
          <w:i/>
          <w:lang w:val="pl-PL"/>
        </w:rPr>
        <w:t>Województwo krakowskie w drugiej połowie XVI wieku</w:t>
      </w:r>
      <w:r>
        <w:rPr>
          <w:lang w:val="pl-PL"/>
        </w:rPr>
        <w:t xml:space="preserve">, red. H. Rutkowski, oprac. K. Chłapowski et al., Warszawa 2008; </w:t>
      </w:r>
      <w:r w:rsidRPr="0033795A">
        <w:rPr>
          <w:rStyle w:val="highlight"/>
          <w:i/>
          <w:lang w:val="pl-PL"/>
        </w:rPr>
        <w:t>Materiały do słownika historyczno</w:t>
      </w:r>
      <w:r w:rsidRPr="0033795A">
        <w:rPr>
          <w:i/>
          <w:lang w:val="pl-PL"/>
        </w:rPr>
        <w:t>-geograficznego województwa krakowskiego w dobie Sejmu Czteroletniego: 1788-1792</w:t>
      </w:r>
      <w:r>
        <w:rPr>
          <w:lang w:val="pl-PL"/>
        </w:rPr>
        <w:t>, z</w:t>
      </w:r>
      <w:r w:rsidRPr="004310C2">
        <w:rPr>
          <w:lang w:val="pl-PL"/>
        </w:rPr>
        <w:t xml:space="preserve">. 2, </w:t>
      </w:r>
      <w:proofErr w:type="spellStart"/>
      <w:r w:rsidRPr="004310C2">
        <w:rPr>
          <w:lang w:val="pl-PL"/>
        </w:rPr>
        <w:t>Krasawa-Żysławice</w:t>
      </w:r>
      <w:proofErr w:type="spellEnd"/>
      <w:r>
        <w:rPr>
          <w:lang w:val="pl-PL"/>
        </w:rPr>
        <w:t>, red.</w:t>
      </w:r>
      <w:r w:rsidRPr="004310C2">
        <w:rPr>
          <w:lang w:val="pl-PL"/>
        </w:rPr>
        <w:t xml:space="preserve"> </w:t>
      </w:r>
      <w:r>
        <w:rPr>
          <w:rStyle w:val="additionalfields"/>
          <w:lang w:val="pl-PL"/>
        </w:rPr>
        <w:t>W. Semkowicz, oprac. K.</w:t>
      </w:r>
      <w:r w:rsidRPr="004310C2">
        <w:rPr>
          <w:rStyle w:val="additionalfields"/>
          <w:lang w:val="pl-PL"/>
        </w:rPr>
        <w:t xml:space="preserve"> Buc</w:t>
      </w:r>
      <w:r>
        <w:rPr>
          <w:rStyle w:val="additionalfields"/>
          <w:lang w:val="pl-PL"/>
        </w:rPr>
        <w:t>zek et al., Warszawa 1960 oraz mapa dołączona do tego wydawnictwa.</w:t>
      </w:r>
    </w:p>
  </w:footnote>
  <w:footnote w:id="4">
    <w:p w:rsidR="00782E2E" w:rsidRPr="00BA570B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A570B">
        <w:rPr>
          <w:lang w:val="pl-PL"/>
        </w:rPr>
        <w:t xml:space="preserve"> </w:t>
      </w:r>
      <w:r w:rsidRPr="00BA570B">
        <w:rPr>
          <w:i/>
          <w:lang w:val="pl-PL"/>
        </w:rPr>
        <w:t>Drogi w ziemi krakowskiej do końca XVI wieku</w:t>
      </w:r>
      <w:r>
        <w:rPr>
          <w:lang w:val="pl-PL"/>
        </w:rPr>
        <w:t>, Wrocław 1977.</w:t>
      </w:r>
    </w:p>
  </w:footnote>
  <w:footnote w:id="5">
    <w:p w:rsidR="00782E2E" w:rsidRPr="00716207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16207">
        <w:rPr>
          <w:lang w:val="pl-PL"/>
        </w:rPr>
        <w:t xml:space="preserve"> </w:t>
      </w:r>
      <w:r>
        <w:rPr>
          <w:lang w:val="pl-PL"/>
        </w:rPr>
        <w:t xml:space="preserve">Por. np. M. Dygo, </w:t>
      </w:r>
      <w:r w:rsidRPr="00716207">
        <w:rPr>
          <w:i/>
          <w:lang w:val="pl-PL"/>
        </w:rPr>
        <w:t>Czy istniał feudalizm w Europie środkowo-wschodniej w średni</w:t>
      </w:r>
      <w:r w:rsidRPr="00716207">
        <w:rPr>
          <w:i/>
          <w:lang w:val="pl-PL"/>
        </w:rPr>
        <w:t>o</w:t>
      </w:r>
      <w:r w:rsidRPr="00716207">
        <w:rPr>
          <w:i/>
          <w:lang w:val="pl-PL"/>
        </w:rPr>
        <w:t>wieczu?</w:t>
      </w:r>
      <w:r>
        <w:rPr>
          <w:lang w:val="pl-PL"/>
        </w:rPr>
        <w:t>, „Kwartalnik Historyczny”, 120 (2013): 667-716</w:t>
      </w:r>
    </w:p>
  </w:footnote>
  <w:footnote w:id="6">
    <w:p w:rsidR="00782E2E" w:rsidRPr="00277F05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91D75">
        <w:rPr>
          <w:lang w:val="pl-PL"/>
        </w:rPr>
        <w:t xml:space="preserve"> </w:t>
      </w:r>
      <w:r>
        <w:rPr>
          <w:lang w:val="pl-PL"/>
        </w:rPr>
        <w:t xml:space="preserve">J. </w:t>
      </w:r>
      <w:proofErr w:type="spellStart"/>
      <w:r>
        <w:rPr>
          <w:lang w:val="pl-PL"/>
        </w:rPr>
        <w:t>Wyrozumski</w:t>
      </w:r>
      <w:proofErr w:type="spellEnd"/>
      <w:r>
        <w:rPr>
          <w:lang w:val="pl-PL"/>
        </w:rPr>
        <w:t xml:space="preserve">, </w:t>
      </w:r>
      <w:r w:rsidRPr="00591D75">
        <w:rPr>
          <w:i/>
          <w:lang w:val="pl-PL"/>
        </w:rPr>
        <w:t>Czy było polskie prawo osadnicze</w:t>
      </w:r>
      <w:r>
        <w:rPr>
          <w:lang w:val="pl-PL"/>
        </w:rPr>
        <w:t xml:space="preserve">, w: </w:t>
      </w:r>
      <w:r w:rsidRPr="00591D75">
        <w:rPr>
          <w:i/>
          <w:lang w:val="pl-PL"/>
        </w:rPr>
        <w:t>Ojczyzna bliższa i dalsza. St</w:t>
      </w:r>
      <w:r w:rsidRPr="00591D75">
        <w:rPr>
          <w:i/>
          <w:lang w:val="pl-PL"/>
        </w:rPr>
        <w:t>u</w:t>
      </w:r>
      <w:r w:rsidRPr="00591D75">
        <w:rPr>
          <w:i/>
          <w:lang w:val="pl-PL"/>
        </w:rPr>
        <w:t xml:space="preserve">dia historyczne ofiarowane Feliksowi </w:t>
      </w:r>
      <w:proofErr w:type="spellStart"/>
      <w:r w:rsidRPr="00591D75">
        <w:rPr>
          <w:i/>
          <w:lang w:val="pl-PL"/>
        </w:rPr>
        <w:t>Kirykowi</w:t>
      </w:r>
      <w:proofErr w:type="spellEnd"/>
      <w:r w:rsidRPr="00591D75">
        <w:rPr>
          <w:i/>
          <w:lang w:val="pl-PL"/>
        </w:rPr>
        <w:t xml:space="preserve"> w sześćdziesiątą rocznicę urodzin</w:t>
      </w:r>
      <w:r>
        <w:rPr>
          <w:lang w:val="pl-PL"/>
        </w:rPr>
        <w:t xml:space="preserve">, red. J. </w:t>
      </w:r>
      <w:proofErr w:type="spellStart"/>
      <w:r>
        <w:rPr>
          <w:lang w:val="pl-PL"/>
        </w:rPr>
        <w:t>Chrobaczyński</w:t>
      </w:r>
      <w:proofErr w:type="spellEnd"/>
      <w:r>
        <w:rPr>
          <w:lang w:val="pl-PL"/>
        </w:rPr>
        <w:t xml:space="preserve"> i in., Kraków 1993, s. 305-310.  </w:t>
      </w:r>
    </w:p>
  </w:footnote>
  <w:footnote w:id="7">
    <w:p w:rsidR="00782E2E" w:rsidRPr="008A7395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A7395">
        <w:rPr>
          <w:lang w:val="pl-PL"/>
        </w:rPr>
        <w:t xml:space="preserve"> </w:t>
      </w:r>
      <w:r>
        <w:rPr>
          <w:lang w:val="pl-PL"/>
        </w:rPr>
        <w:t xml:space="preserve">Zob. J. Szymański, </w:t>
      </w:r>
      <w:r w:rsidRPr="003B5C29">
        <w:rPr>
          <w:i/>
          <w:lang w:val="pl-PL"/>
        </w:rPr>
        <w:t>Nauki pomocnicze historii</w:t>
      </w:r>
      <w:r>
        <w:rPr>
          <w:lang w:val="pl-PL"/>
        </w:rPr>
        <w:t xml:space="preserve">, Warszawa 2001, s. 165-167; por. A. Dunin-Wąsowicz, </w:t>
      </w:r>
      <w:r w:rsidRPr="003B5C29">
        <w:rPr>
          <w:i/>
          <w:lang w:val="pl-PL"/>
        </w:rPr>
        <w:t>Pomiary gruntu w Koronie w XVI-XVIII wieku</w:t>
      </w:r>
      <w:r>
        <w:rPr>
          <w:lang w:val="pl-PL"/>
        </w:rPr>
        <w:t>, Warszawa 1994, s. 68-70.</w:t>
      </w:r>
    </w:p>
  </w:footnote>
  <w:footnote w:id="8">
    <w:p w:rsidR="00782E2E" w:rsidRPr="002E55E0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E55E0">
        <w:rPr>
          <w:lang w:val="pl-PL"/>
        </w:rPr>
        <w:t xml:space="preserve"> </w:t>
      </w:r>
      <w:r>
        <w:rPr>
          <w:lang w:val="pl-PL"/>
        </w:rPr>
        <w:t xml:space="preserve">M. Mikułka, </w:t>
      </w:r>
      <w:r w:rsidRPr="002E55E0">
        <w:rPr>
          <w:rStyle w:val="Uwydatnienie"/>
          <w:lang w:val="pl-PL"/>
        </w:rPr>
        <w:t>Prawodawstwo króla i sejmu dla małopolskich miast królewskich (1386-1572). Studium z dziejów rządów prawa w Polsce</w:t>
      </w:r>
      <w:r w:rsidRPr="002E55E0">
        <w:rPr>
          <w:lang w:val="pl-PL"/>
        </w:rPr>
        <w:t>, Kraków 2014, s. 269. Różnica jest także co do roku interwencji monarszej, którą tenże Autor</w:t>
      </w:r>
      <w:r>
        <w:rPr>
          <w:lang w:val="pl-PL"/>
        </w:rPr>
        <w:t xml:space="preserve"> datuje na 1396 r.</w:t>
      </w:r>
      <w:r w:rsidRPr="002E55E0">
        <w:rPr>
          <w:lang w:val="pl-PL"/>
        </w:rPr>
        <w:t xml:space="preserve"> </w:t>
      </w:r>
    </w:p>
  </w:footnote>
  <w:footnote w:id="9">
    <w:p w:rsidR="00782E2E" w:rsidRPr="008E0CC7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E0CC7">
        <w:rPr>
          <w:lang w:val="pl-PL"/>
        </w:rPr>
        <w:t xml:space="preserve"> </w:t>
      </w:r>
      <w:r w:rsidRPr="008E0CC7">
        <w:rPr>
          <w:i/>
          <w:lang w:val="pl-PL"/>
        </w:rPr>
        <w:t>Księgi celne Korony z drugiej połowy XVI wieku</w:t>
      </w:r>
      <w:r>
        <w:rPr>
          <w:lang w:val="pl-PL"/>
        </w:rPr>
        <w:t>, wyd. S. Kazusek, Kielce 2017, wg indeksu.</w:t>
      </w:r>
    </w:p>
  </w:footnote>
  <w:footnote w:id="10">
    <w:p w:rsidR="00782E2E" w:rsidRPr="00AF4F37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F4F37">
        <w:rPr>
          <w:lang w:val="pl-PL"/>
        </w:rPr>
        <w:t xml:space="preserve"> </w:t>
      </w:r>
      <w:r w:rsidRPr="00AF4F37">
        <w:rPr>
          <w:i/>
          <w:lang w:val="pl-PL"/>
        </w:rPr>
        <w:t xml:space="preserve">Metryka Uniwersytetu Krakowskiego z lat 1400-1508. Biblioteka Jagiellońska </w:t>
      </w:r>
      <w:proofErr w:type="spellStart"/>
      <w:r w:rsidRPr="00AF4F37">
        <w:rPr>
          <w:i/>
          <w:lang w:val="pl-PL"/>
        </w:rPr>
        <w:t>rkp</w:t>
      </w:r>
      <w:proofErr w:type="spellEnd"/>
      <w:r w:rsidRPr="00AF4F37">
        <w:rPr>
          <w:i/>
          <w:lang w:val="pl-PL"/>
        </w:rPr>
        <w:t>. 258</w:t>
      </w:r>
      <w:r>
        <w:rPr>
          <w:lang w:val="pl-PL"/>
        </w:rPr>
        <w:t>, wyd. A. Gąsiorowski, T. Jurek, I. Skierska, Kraków 2004, t. 2, s. 454.</w:t>
      </w:r>
    </w:p>
  </w:footnote>
  <w:footnote w:id="11">
    <w:p w:rsidR="00782E2E" w:rsidRPr="00411357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C04F0">
        <w:rPr>
          <w:lang w:val="pl-PL"/>
        </w:rPr>
        <w:t xml:space="preserve"> </w:t>
      </w:r>
      <w:r>
        <w:rPr>
          <w:lang w:val="pl-PL"/>
        </w:rPr>
        <w:t>W Jędrzejowie o dochody ubogich rajcowie rywalizowali z plebanem; W. Kowa</w:t>
      </w:r>
      <w:r>
        <w:rPr>
          <w:lang w:val="pl-PL"/>
        </w:rPr>
        <w:t>l</w:t>
      </w:r>
      <w:r>
        <w:rPr>
          <w:lang w:val="pl-PL"/>
        </w:rPr>
        <w:t xml:space="preserve">ski, D. Olszewski, </w:t>
      </w:r>
      <w:r>
        <w:rPr>
          <w:i/>
          <w:lang w:val="pl-PL"/>
        </w:rPr>
        <w:t>Parafia Trójcy</w:t>
      </w:r>
      <w:r w:rsidRPr="002C04F0">
        <w:rPr>
          <w:i/>
          <w:lang w:val="pl-PL"/>
        </w:rPr>
        <w:t xml:space="preserve"> Świętej w Jędrzejowie na tle dekanatu. Zarys dziejów</w:t>
      </w:r>
      <w:r>
        <w:rPr>
          <w:lang w:val="pl-PL"/>
        </w:rPr>
        <w:t>, Kie</w:t>
      </w:r>
      <w:r>
        <w:rPr>
          <w:lang w:val="pl-PL"/>
        </w:rPr>
        <w:t>l</w:t>
      </w:r>
      <w:r>
        <w:rPr>
          <w:lang w:val="pl-PL"/>
        </w:rPr>
        <w:t xml:space="preserve">ce 2003, s. 143-155. </w:t>
      </w:r>
    </w:p>
  </w:footnote>
  <w:footnote w:id="12">
    <w:p w:rsidR="00782E2E" w:rsidRPr="003910F0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910F0">
        <w:rPr>
          <w:lang w:val="pl-PL"/>
        </w:rPr>
        <w:t xml:space="preserve"> </w:t>
      </w:r>
      <w:r>
        <w:rPr>
          <w:lang w:val="pl-PL"/>
        </w:rPr>
        <w:t xml:space="preserve">M. in. J. Wijaczka, </w:t>
      </w:r>
      <w:r w:rsidRPr="00EB7FE9">
        <w:rPr>
          <w:i/>
          <w:lang w:val="pl-PL"/>
        </w:rPr>
        <w:t>Procesy o czary w regionie świętokrzyskim w XVII-XVIII wieku</w:t>
      </w:r>
      <w:r>
        <w:rPr>
          <w:lang w:val="pl-PL"/>
        </w:rPr>
        <w:t xml:space="preserve">, w: </w:t>
      </w:r>
      <w:r w:rsidRPr="00EB7FE9">
        <w:rPr>
          <w:i/>
          <w:lang w:val="pl-PL"/>
        </w:rPr>
        <w:t>Z przeszłości regionu świętokrzyskiego od XVI do XX wieku</w:t>
      </w:r>
      <w:r>
        <w:rPr>
          <w:lang w:val="pl-PL"/>
        </w:rPr>
        <w:t>, Kielce 2003.</w:t>
      </w:r>
    </w:p>
  </w:footnote>
  <w:footnote w:id="13">
    <w:p w:rsidR="00782E2E" w:rsidRPr="00633644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33644">
        <w:rPr>
          <w:lang w:val="pl-PL"/>
        </w:rPr>
        <w:t xml:space="preserve"> </w:t>
      </w:r>
      <w:r>
        <w:rPr>
          <w:lang w:val="pl-PL"/>
        </w:rPr>
        <w:t>Tabela 5 na str. 146 sporządzona została jednak błędnie, m.in. dlatego iż komentarz powinien znaleźć się w uwagach do tabeli. Korekty wymaga także układ innych tabel z</w:t>
      </w:r>
      <w:r>
        <w:rPr>
          <w:lang w:val="pl-PL"/>
        </w:rPr>
        <w:t>a</w:t>
      </w:r>
      <w:r>
        <w:rPr>
          <w:lang w:val="pl-PL"/>
        </w:rPr>
        <w:t>mieszczonych w omawianej pracy.</w:t>
      </w:r>
    </w:p>
  </w:footnote>
  <w:footnote w:id="14">
    <w:p w:rsidR="00782E2E" w:rsidRPr="00961443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61443">
        <w:rPr>
          <w:lang w:val="pl-PL"/>
        </w:rPr>
        <w:t xml:space="preserve"> </w:t>
      </w:r>
      <w:r>
        <w:rPr>
          <w:lang w:val="pl-PL"/>
        </w:rPr>
        <w:t xml:space="preserve">O przydatności badawczej tych przekazów szerzej zob. przykładowo C. Kuklo, </w:t>
      </w:r>
      <w:r w:rsidRPr="00E53F3C">
        <w:rPr>
          <w:i/>
          <w:lang w:val="pl-PL"/>
        </w:rPr>
        <w:t>D</w:t>
      </w:r>
      <w:r w:rsidRPr="00E53F3C">
        <w:rPr>
          <w:i/>
          <w:lang w:val="pl-PL"/>
        </w:rPr>
        <w:t>e</w:t>
      </w:r>
      <w:r w:rsidRPr="00E53F3C">
        <w:rPr>
          <w:i/>
          <w:lang w:val="pl-PL"/>
        </w:rPr>
        <w:t>mografia Rzeczypospolitej przedrozbiorowej</w:t>
      </w:r>
      <w:r>
        <w:rPr>
          <w:lang w:val="pl-PL"/>
        </w:rPr>
        <w:t xml:space="preserve">, Warszawa 2009, s. 77, 79. W 1662 r. podatek wybrano w Słomnikach od 319 osób; zob. </w:t>
      </w:r>
      <w:r w:rsidRPr="00E53F3C">
        <w:rPr>
          <w:i/>
          <w:lang w:val="pl-PL"/>
        </w:rPr>
        <w:t>Polska XVI wieku pod względem geograficzno-statystycznym</w:t>
      </w:r>
      <w:r>
        <w:rPr>
          <w:lang w:val="pl-PL"/>
        </w:rPr>
        <w:t xml:space="preserve">, t. 3: </w:t>
      </w:r>
      <w:r w:rsidRPr="00E53F3C">
        <w:rPr>
          <w:i/>
          <w:lang w:val="pl-PL"/>
        </w:rPr>
        <w:t>Małopolska</w:t>
      </w:r>
      <w:r>
        <w:rPr>
          <w:lang w:val="pl-PL"/>
        </w:rPr>
        <w:t>, opr. A. Pawiński, Warszawa 1886, s. 50.</w:t>
      </w:r>
    </w:p>
  </w:footnote>
  <w:footnote w:id="15">
    <w:p w:rsidR="00782E2E" w:rsidRPr="00D07C06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07C06">
        <w:rPr>
          <w:lang w:val="pl-PL"/>
        </w:rPr>
        <w:t xml:space="preserve"> </w:t>
      </w:r>
      <w:r w:rsidRPr="009C487C">
        <w:rPr>
          <w:i/>
          <w:lang w:val="pl-PL"/>
        </w:rPr>
        <w:t>Rejestr poborowy województwa krakowskiego z roku 1629</w:t>
      </w:r>
      <w:r>
        <w:rPr>
          <w:lang w:val="pl-PL"/>
        </w:rPr>
        <w:t>, opr</w:t>
      </w:r>
      <w:r w:rsidR="009C487C">
        <w:rPr>
          <w:lang w:val="pl-PL"/>
        </w:rPr>
        <w:t>ac</w:t>
      </w:r>
      <w:r>
        <w:rPr>
          <w:lang w:val="pl-PL"/>
        </w:rPr>
        <w:t xml:space="preserve">. </w:t>
      </w:r>
      <w:r w:rsidRPr="00D07C06">
        <w:rPr>
          <w:lang w:val="fr-FR"/>
        </w:rPr>
        <w:t xml:space="preserve">W. Domin et al., red. </w:t>
      </w:r>
      <w:r w:rsidRPr="00D07C06">
        <w:rPr>
          <w:lang w:val="pl-PL"/>
        </w:rPr>
        <w:t xml:space="preserve">S. </w:t>
      </w:r>
      <w:proofErr w:type="spellStart"/>
      <w:r w:rsidRPr="00D07C06">
        <w:rPr>
          <w:lang w:val="pl-PL"/>
        </w:rPr>
        <w:t>Inglot</w:t>
      </w:r>
      <w:proofErr w:type="spellEnd"/>
      <w:r w:rsidRPr="00D07C06">
        <w:rPr>
          <w:lang w:val="pl-PL"/>
        </w:rPr>
        <w:t xml:space="preserve">, Wrocław 1956, s. 122; </w:t>
      </w:r>
      <w:r w:rsidRPr="009C487C">
        <w:rPr>
          <w:i/>
          <w:lang w:val="pl-PL"/>
        </w:rPr>
        <w:t>Rejestr poborowy województwa krakowskiego z roku 1680 wraz z aneksem miast według rejestru z roku 1655</w:t>
      </w:r>
      <w:r>
        <w:rPr>
          <w:lang w:val="pl-PL"/>
        </w:rPr>
        <w:t xml:space="preserve">, opr. E. </w:t>
      </w:r>
      <w:proofErr w:type="spellStart"/>
      <w:r>
        <w:rPr>
          <w:lang w:val="pl-PL"/>
        </w:rPr>
        <w:t>Trzyna</w:t>
      </w:r>
      <w:proofErr w:type="spellEnd"/>
      <w:r>
        <w:rPr>
          <w:lang w:val="pl-PL"/>
        </w:rPr>
        <w:t xml:space="preserve">, S. </w:t>
      </w:r>
      <w:proofErr w:type="spellStart"/>
      <w:r>
        <w:rPr>
          <w:lang w:val="pl-PL"/>
        </w:rPr>
        <w:t>Żyga</w:t>
      </w:r>
      <w:proofErr w:type="spellEnd"/>
      <w:r w:rsidRPr="00D07C06">
        <w:rPr>
          <w:lang w:val="pl-PL"/>
        </w:rPr>
        <w:t xml:space="preserve">, red. S. </w:t>
      </w:r>
      <w:proofErr w:type="spellStart"/>
      <w:r w:rsidRPr="00D07C06">
        <w:rPr>
          <w:lang w:val="pl-PL"/>
        </w:rPr>
        <w:t>I</w:t>
      </w:r>
      <w:r w:rsidRPr="00D07C06">
        <w:rPr>
          <w:lang w:val="pl-PL"/>
        </w:rPr>
        <w:t>n</w:t>
      </w:r>
      <w:r w:rsidRPr="00D07C06">
        <w:rPr>
          <w:lang w:val="pl-PL"/>
        </w:rPr>
        <w:t>glot</w:t>
      </w:r>
      <w:proofErr w:type="spellEnd"/>
      <w:r w:rsidRPr="00D07C06">
        <w:rPr>
          <w:lang w:val="pl-PL"/>
        </w:rPr>
        <w:t>, Wro</w:t>
      </w:r>
      <w:r>
        <w:rPr>
          <w:lang w:val="pl-PL"/>
        </w:rPr>
        <w:t>cław 1959, s. 120, 330.</w:t>
      </w:r>
    </w:p>
  </w:footnote>
  <w:footnote w:id="16">
    <w:p w:rsidR="00782E2E" w:rsidRPr="00D07C06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07C06">
        <w:rPr>
          <w:lang w:val="pl-PL"/>
        </w:rPr>
        <w:t xml:space="preserve"> </w:t>
      </w:r>
      <w:r>
        <w:rPr>
          <w:lang w:val="pl-PL"/>
        </w:rPr>
        <w:t xml:space="preserve">O źródłach tych zob. m.in. S. </w:t>
      </w:r>
      <w:proofErr w:type="spellStart"/>
      <w:r>
        <w:rPr>
          <w:lang w:val="pl-PL"/>
        </w:rPr>
        <w:t>Litak</w:t>
      </w:r>
      <w:proofErr w:type="spellEnd"/>
      <w:r>
        <w:rPr>
          <w:lang w:val="pl-PL"/>
        </w:rPr>
        <w:t xml:space="preserve">, </w:t>
      </w:r>
      <w:r w:rsidRPr="00A076E3">
        <w:rPr>
          <w:rStyle w:val="Uwydatnienie"/>
          <w:lang w:val="pl-PL"/>
        </w:rPr>
        <w:t>Parafie w Rzeczypospolitej</w:t>
      </w:r>
      <w:r w:rsidRPr="00A076E3">
        <w:rPr>
          <w:rStyle w:val="st"/>
          <w:i/>
          <w:lang w:val="pl-PL"/>
        </w:rPr>
        <w:t xml:space="preserve"> w XVI-XVIII wieku. Struktura, funkcje społeczno-religijne i edukacyjne</w:t>
      </w:r>
      <w:r>
        <w:rPr>
          <w:rStyle w:val="st"/>
          <w:lang w:val="pl-PL"/>
        </w:rPr>
        <w:t xml:space="preserve">, Lublin 2004, s. 29, 32; </w:t>
      </w:r>
      <w:r>
        <w:rPr>
          <w:lang w:val="pl-PL"/>
        </w:rPr>
        <w:t>C. Kuklo, op. cit., s. 68.</w:t>
      </w:r>
    </w:p>
  </w:footnote>
  <w:footnote w:id="17">
    <w:p w:rsidR="00782E2E" w:rsidRPr="00DB4E01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B4E01">
        <w:rPr>
          <w:lang w:val="pl-PL"/>
        </w:rPr>
        <w:t xml:space="preserve"> </w:t>
      </w:r>
      <w:r>
        <w:rPr>
          <w:lang w:val="pl-PL"/>
        </w:rPr>
        <w:t xml:space="preserve">Omawia je H. Zaremska, </w:t>
      </w:r>
      <w:r w:rsidRPr="00DB4E01">
        <w:rPr>
          <w:rStyle w:val="Uwydatnienie"/>
          <w:lang w:val="pl-PL"/>
        </w:rPr>
        <w:t>Żydzi w średniowiecznej</w:t>
      </w:r>
      <w:r w:rsidRPr="00DB4E01">
        <w:rPr>
          <w:rStyle w:val="st"/>
          <w:lang w:val="pl-PL"/>
        </w:rPr>
        <w:t xml:space="preserve"> </w:t>
      </w:r>
      <w:r w:rsidRPr="00DB4E01">
        <w:rPr>
          <w:rStyle w:val="st"/>
          <w:i/>
          <w:lang w:val="pl-PL"/>
        </w:rPr>
        <w:t>Polsce</w:t>
      </w:r>
      <w:r w:rsidRPr="00DB4E01">
        <w:rPr>
          <w:rStyle w:val="st"/>
          <w:lang w:val="pl-PL"/>
        </w:rPr>
        <w:t xml:space="preserve">. </w:t>
      </w:r>
      <w:r w:rsidRPr="00DB4E01">
        <w:rPr>
          <w:rStyle w:val="st"/>
          <w:i/>
          <w:lang w:val="pl-PL"/>
        </w:rPr>
        <w:t>Gmina krakowska</w:t>
      </w:r>
      <w:r w:rsidRPr="00DB4E01">
        <w:rPr>
          <w:rStyle w:val="st"/>
          <w:lang w:val="pl-PL"/>
        </w:rPr>
        <w:t>, Wa</w:t>
      </w:r>
      <w:r w:rsidRPr="00DB4E01">
        <w:rPr>
          <w:rStyle w:val="st"/>
          <w:lang w:val="pl-PL"/>
        </w:rPr>
        <w:t>r</w:t>
      </w:r>
      <w:r w:rsidRPr="00DB4E01">
        <w:rPr>
          <w:rStyle w:val="st"/>
          <w:lang w:val="pl-PL"/>
        </w:rPr>
        <w:t>szawa 2011</w:t>
      </w:r>
      <w:r>
        <w:rPr>
          <w:rStyle w:val="st"/>
          <w:lang w:val="pl-PL"/>
        </w:rPr>
        <w:t>, s. 239-266.</w:t>
      </w:r>
    </w:p>
  </w:footnote>
  <w:footnote w:id="18">
    <w:p w:rsidR="00782E2E" w:rsidRPr="00BE0466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E0466">
        <w:rPr>
          <w:lang w:val="pl-PL"/>
        </w:rPr>
        <w:t xml:space="preserve"> </w:t>
      </w:r>
      <w:r>
        <w:rPr>
          <w:lang w:val="pl-PL"/>
        </w:rPr>
        <w:t xml:space="preserve">Uzupełnia je A. Kaźmierczyk, </w:t>
      </w:r>
      <w:r w:rsidRPr="00BE0466">
        <w:rPr>
          <w:i/>
          <w:lang w:val="pl-PL"/>
        </w:rPr>
        <w:t>Rodziłem się Żydem. Konwersje Żydów w Rzeczyp</w:t>
      </w:r>
      <w:r w:rsidRPr="00BE0466">
        <w:rPr>
          <w:i/>
          <w:lang w:val="pl-PL"/>
        </w:rPr>
        <w:t>o</w:t>
      </w:r>
      <w:r w:rsidRPr="00BE0466">
        <w:rPr>
          <w:i/>
          <w:lang w:val="pl-PL"/>
        </w:rPr>
        <w:t>spolitej XVII-XVIII wieku</w:t>
      </w:r>
      <w:r>
        <w:rPr>
          <w:lang w:val="pl-PL"/>
        </w:rPr>
        <w:t>, Kraków 2015, s. 62.</w:t>
      </w:r>
    </w:p>
  </w:footnote>
  <w:footnote w:id="19">
    <w:p w:rsidR="00782E2E" w:rsidRPr="00CA041E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A041E">
        <w:rPr>
          <w:lang w:val="pl-PL"/>
        </w:rPr>
        <w:t xml:space="preserve"> </w:t>
      </w:r>
      <w:r w:rsidRPr="00CA041E">
        <w:rPr>
          <w:rStyle w:val="Uwydatnienie"/>
          <w:lang w:val="pl-PL"/>
        </w:rPr>
        <w:t>Księga dochodów beneficjów diecezji</w:t>
      </w:r>
      <w:r w:rsidRPr="00CA041E">
        <w:rPr>
          <w:rStyle w:val="st"/>
          <w:lang w:val="pl-PL"/>
        </w:rPr>
        <w:t xml:space="preserve"> </w:t>
      </w:r>
      <w:r>
        <w:rPr>
          <w:rStyle w:val="st"/>
          <w:i/>
          <w:lang w:val="pl-PL"/>
        </w:rPr>
        <w:t>krakowskiej z roku 1529 (</w:t>
      </w:r>
      <w:r w:rsidRPr="00CA041E">
        <w:rPr>
          <w:rStyle w:val="st"/>
          <w:i/>
          <w:lang w:val="pl-PL"/>
        </w:rPr>
        <w:t xml:space="preserve">tzw. Liber </w:t>
      </w:r>
      <w:proofErr w:type="spellStart"/>
      <w:r w:rsidRPr="00CA041E">
        <w:rPr>
          <w:rStyle w:val="st"/>
          <w:i/>
          <w:lang w:val="pl-PL"/>
        </w:rPr>
        <w:t>retax</w:t>
      </w:r>
      <w:r w:rsidRPr="00CA041E">
        <w:rPr>
          <w:rStyle w:val="st"/>
          <w:i/>
          <w:lang w:val="pl-PL"/>
        </w:rPr>
        <w:t>a</w:t>
      </w:r>
      <w:r w:rsidRPr="00CA041E">
        <w:rPr>
          <w:rStyle w:val="st"/>
          <w:i/>
          <w:lang w:val="pl-PL"/>
        </w:rPr>
        <w:t>tionum</w:t>
      </w:r>
      <w:proofErr w:type="spellEnd"/>
      <w:r w:rsidRPr="00CA041E">
        <w:rPr>
          <w:rStyle w:val="st"/>
          <w:i/>
          <w:lang w:val="pl-PL"/>
        </w:rPr>
        <w:t>)</w:t>
      </w:r>
      <w:r w:rsidRPr="00CA041E">
        <w:rPr>
          <w:rStyle w:val="st"/>
          <w:lang w:val="pl-PL"/>
        </w:rPr>
        <w:t xml:space="preserve">, </w:t>
      </w:r>
      <w:r>
        <w:rPr>
          <w:rStyle w:val="st"/>
          <w:lang w:val="pl-PL"/>
        </w:rPr>
        <w:t xml:space="preserve">wyd. Z. </w:t>
      </w:r>
      <w:r w:rsidRPr="009C487C">
        <w:rPr>
          <w:rStyle w:val="st"/>
          <w:lang w:val="pl-PL"/>
        </w:rPr>
        <w:t>Leszczyńska-Skrętowa, Wrocław 1968, s. 146-147.</w:t>
      </w:r>
    </w:p>
  </w:footnote>
  <w:footnote w:id="20">
    <w:p w:rsidR="00782E2E" w:rsidRPr="008D52B7" w:rsidRDefault="00782E2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D52B7">
        <w:rPr>
          <w:lang w:val="pl-PL"/>
        </w:rPr>
        <w:t xml:space="preserve"> </w:t>
      </w:r>
      <w:r>
        <w:rPr>
          <w:lang w:val="pl-PL"/>
        </w:rPr>
        <w:t xml:space="preserve">Hipoteza, jakoby wzrost areału beneficjum plebańskiego miał miejsce </w:t>
      </w:r>
      <w:r w:rsidR="00546B09">
        <w:rPr>
          <w:lang w:val="pl-PL"/>
        </w:rPr>
        <w:t xml:space="preserve">(w szerszej skali) </w:t>
      </w:r>
      <w:r>
        <w:rPr>
          <w:lang w:val="pl-PL"/>
        </w:rPr>
        <w:t>przede wszystkim w parafiach miejskich, nie daje sie utrzymać choćby tylko w świetle mej pracy o uposażeniu parafii archidiakonatu sandomierskiego, którą Autorka przywołuje na str. 226.</w:t>
      </w:r>
    </w:p>
  </w:footnote>
  <w:footnote w:id="21">
    <w:p w:rsidR="00782E2E" w:rsidRPr="00BB6325" w:rsidRDefault="00782E2E" w:rsidP="00BB63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Zob. </w:t>
      </w:r>
      <w:r w:rsidRPr="00BB6325">
        <w:rPr>
          <w:i/>
          <w:lang w:val="pl-PL"/>
        </w:rPr>
        <w:t>Księga dochodów</w:t>
      </w:r>
      <w:r>
        <w:rPr>
          <w:lang w:val="pl-PL"/>
        </w:rPr>
        <w:t xml:space="preserve">, s. 146; </w:t>
      </w:r>
      <w:r w:rsidRPr="00BB6325">
        <w:rPr>
          <w:i/>
          <w:lang w:val="pl-PL"/>
        </w:rPr>
        <w:t>Regesty do dziejów szkolnictwa parafialnego w pierwszej połowie XVI w. z Archiwum Kurii Metropolitalnej w Krakowie</w:t>
      </w:r>
      <w:r>
        <w:rPr>
          <w:lang w:val="pl-PL"/>
        </w:rPr>
        <w:t xml:space="preserve">, oprac. W. Urban, </w:t>
      </w:r>
      <w:r w:rsidRPr="00BB6325">
        <w:rPr>
          <w:lang w:val="pl-PL"/>
        </w:rPr>
        <w:t xml:space="preserve"> </w:t>
      </w:r>
      <w:r>
        <w:rPr>
          <w:lang w:val="pl-PL"/>
        </w:rPr>
        <w:t>„</w:t>
      </w:r>
      <w:r w:rsidRPr="009C487C">
        <w:rPr>
          <w:lang w:val="pl-PL"/>
        </w:rPr>
        <w:t>Archiwa Biblioteki i Muzea Kościelne”, 66 (1996): 336-337.</w:t>
      </w:r>
    </w:p>
  </w:footnote>
  <w:footnote w:id="22">
    <w:p w:rsidR="00060545" w:rsidRPr="00782E2E" w:rsidRDefault="00060545" w:rsidP="0006054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82E2E">
        <w:rPr>
          <w:lang w:val="pl-PL"/>
        </w:rPr>
        <w:t xml:space="preserve"> </w:t>
      </w:r>
      <w:r>
        <w:rPr>
          <w:lang w:val="pl-PL"/>
        </w:rPr>
        <w:t xml:space="preserve">Za </w:t>
      </w:r>
      <w:r w:rsidRPr="00782E2E">
        <w:rPr>
          <w:i/>
          <w:lang w:val="pl-PL"/>
        </w:rPr>
        <w:t>Księgi egzaminów do święceń w diecezji krakowskiej z lat 1573-1614</w:t>
      </w:r>
      <w:r>
        <w:rPr>
          <w:lang w:val="pl-PL"/>
        </w:rPr>
        <w:t>, opr. Z. Pietrzyk, Kraków 1991, wg indeksu.</w:t>
      </w:r>
    </w:p>
  </w:footnote>
  <w:footnote w:id="23">
    <w:p w:rsidR="00546B09" w:rsidRPr="00546B09" w:rsidRDefault="00546B0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46B09">
        <w:rPr>
          <w:lang w:val="pl-PL"/>
        </w:rPr>
        <w:t xml:space="preserve"> </w:t>
      </w:r>
      <w:r>
        <w:rPr>
          <w:lang w:val="pl-PL"/>
        </w:rPr>
        <w:t xml:space="preserve">Nie zna takiego K. Chłapowski, </w:t>
      </w:r>
      <w:r w:rsidRPr="00546B09">
        <w:rPr>
          <w:i/>
          <w:lang w:val="pl-PL"/>
        </w:rPr>
        <w:t>Gminy wyznań różnowierczych</w:t>
      </w:r>
      <w:r>
        <w:rPr>
          <w:lang w:val="pl-PL"/>
        </w:rPr>
        <w:t xml:space="preserve">, w: </w:t>
      </w:r>
      <w:r w:rsidRPr="00546B09">
        <w:rPr>
          <w:i/>
          <w:lang w:val="pl-PL"/>
        </w:rPr>
        <w:t>Województwo krakowskie</w:t>
      </w:r>
      <w:r>
        <w:rPr>
          <w:lang w:val="pl-PL"/>
        </w:rPr>
        <w:t>, s. 55-58.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2F5"/>
    <w:rsid w:val="00003797"/>
    <w:rsid w:val="00006D7C"/>
    <w:rsid w:val="00007FFD"/>
    <w:rsid w:val="00012F08"/>
    <w:rsid w:val="0003465F"/>
    <w:rsid w:val="000413E3"/>
    <w:rsid w:val="00041726"/>
    <w:rsid w:val="00060545"/>
    <w:rsid w:val="00067993"/>
    <w:rsid w:val="00073A2A"/>
    <w:rsid w:val="000B148A"/>
    <w:rsid w:val="000B149F"/>
    <w:rsid w:val="000B5455"/>
    <w:rsid w:val="000B7B7B"/>
    <w:rsid w:val="000C1BE5"/>
    <w:rsid w:val="000C25C9"/>
    <w:rsid w:val="000D2758"/>
    <w:rsid w:val="000F21B0"/>
    <w:rsid w:val="001307FA"/>
    <w:rsid w:val="00162246"/>
    <w:rsid w:val="00165DC2"/>
    <w:rsid w:val="00167149"/>
    <w:rsid w:val="001B0D7B"/>
    <w:rsid w:val="001B140E"/>
    <w:rsid w:val="001B40B7"/>
    <w:rsid w:val="001D1371"/>
    <w:rsid w:val="001D539E"/>
    <w:rsid w:val="001E6F79"/>
    <w:rsid w:val="001F3D57"/>
    <w:rsid w:val="001F68E3"/>
    <w:rsid w:val="00221994"/>
    <w:rsid w:val="002225A5"/>
    <w:rsid w:val="00225177"/>
    <w:rsid w:val="00227F01"/>
    <w:rsid w:val="00246ADA"/>
    <w:rsid w:val="002601BA"/>
    <w:rsid w:val="00262E79"/>
    <w:rsid w:val="0027683B"/>
    <w:rsid w:val="00276FBC"/>
    <w:rsid w:val="00277F05"/>
    <w:rsid w:val="00281F6E"/>
    <w:rsid w:val="0028216E"/>
    <w:rsid w:val="00295928"/>
    <w:rsid w:val="00296E97"/>
    <w:rsid w:val="00297B6D"/>
    <w:rsid w:val="002B3E1C"/>
    <w:rsid w:val="002C04F0"/>
    <w:rsid w:val="002C7438"/>
    <w:rsid w:val="002E55E0"/>
    <w:rsid w:val="002F3FBD"/>
    <w:rsid w:val="002F4E96"/>
    <w:rsid w:val="00300CDC"/>
    <w:rsid w:val="003107BF"/>
    <w:rsid w:val="0033795A"/>
    <w:rsid w:val="003379D2"/>
    <w:rsid w:val="00375BB4"/>
    <w:rsid w:val="00380650"/>
    <w:rsid w:val="0038161F"/>
    <w:rsid w:val="003910F0"/>
    <w:rsid w:val="003A7DF2"/>
    <w:rsid w:val="003B2B52"/>
    <w:rsid w:val="003B439D"/>
    <w:rsid w:val="003B5A8C"/>
    <w:rsid w:val="003B5C29"/>
    <w:rsid w:val="00407A4C"/>
    <w:rsid w:val="00411357"/>
    <w:rsid w:val="0041415D"/>
    <w:rsid w:val="00423A40"/>
    <w:rsid w:val="004310C2"/>
    <w:rsid w:val="0043110C"/>
    <w:rsid w:val="0043267F"/>
    <w:rsid w:val="00435063"/>
    <w:rsid w:val="00435E79"/>
    <w:rsid w:val="00437172"/>
    <w:rsid w:val="00441FC7"/>
    <w:rsid w:val="00444BCD"/>
    <w:rsid w:val="004456C9"/>
    <w:rsid w:val="00446112"/>
    <w:rsid w:val="0045436E"/>
    <w:rsid w:val="004724F9"/>
    <w:rsid w:val="00484110"/>
    <w:rsid w:val="00485546"/>
    <w:rsid w:val="004A133E"/>
    <w:rsid w:val="004A59EC"/>
    <w:rsid w:val="004B6268"/>
    <w:rsid w:val="004B7065"/>
    <w:rsid w:val="004C4211"/>
    <w:rsid w:val="004E0681"/>
    <w:rsid w:val="004E481B"/>
    <w:rsid w:val="004F3DA5"/>
    <w:rsid w:val="0053727F"/>
    <w:rsid w:val="00546B09"/>
    <w:rsid w:val="005609AB"/>
    <w:rsid w:val="0056202D"/>
    <w:rsid w:val="00573E7C"/>
    <w:rsid w:val="00586354"/>
    <w:rsid w:val="00587F97"/>
    <w:rsid w:val="00591D75"/>
    <w:rsid w:val="00595BA7"/>
    <w:rsid w:val="00597A99"/>
    <w:rsid w:val="005A3806"/>
    <w:rsid w:val="005A528D"/>
    <w:rsid w:val="005B59C5"/>
    <w:rsid w:val="005B75AF"/>
    <w:rsid w:val="005C0809"/>
    <w:rsid w:val="005D5638"/>
    <w:rsid w:val="005F472F"/>
    <w:rsid w:val="006101D9"/>
    <w:rsid w:val="006104C2"/>
    <w:rsid w:val="00612C3A"/>
    <w:rsid w:val="00633644"/>
    <w:rsid w:val="00633F6B"/>
    <w:rsid w:val="006449EE"/>
    <w:rsid w:val="00662AF3"/>
    <w:rsid w:val="00665A01"/>
    <w:rsid w:val="00686376"/>
    <w:rsid w:val="006925C8"/>
    <w:rsid w:val="0069653B"/>
    <w:rsid w:val="006D2C79"/>
    <w:rsid w:val="006E2B6D"/>
    <w:rsid w:val="006E6A82"/>
    <w:rsid w:val="006F38CF"/>
    <w:rsid w:val="0070089E"/>
    <w:rsid w:val="00707457"/>
    <w:rsid w:val="00710964"/>
    <w:rsid w:val="00716207"/>
    <w:rsid w:val="00720AFB"/>
    <w:rsid w:val="00720B21"/>
    <w:rsid w:val="00722971"/>
    <w:rsid w:val="0072369D"/>
    <w:rsid w:val="00724269"/>
    <w:rsid w:val="00724BE8"/>
    <w:rsid w:val="00733635"/>
    <w:rsid w:val="00735CD9"/>
    <w:rsid w:val="00752657"/>
    <w:rsid w:val="0076217A"/>
    <w:rsid w:val="00777B0C"/>
    <w:rsid w:val="0078209A"/>
    <w:rsid w:val="00782DD8"/>
    <w:rsid w:val="00782E2E"/>
    <w:rsid w:val="00785A72"/>
    <w:rsid w:val="0078773F"/>
    <w:rsid w:val="007B7E30"/>
    <w:rsid w:val="007C6734"/>
    <w:rsid w:val="007D3077"/>
    <w:rsid w:val="007D4689"/>
    <w:rsid w:val="007D5575"/>
    <w:rsid w:val="007E221A"/>
    <w:rsid w:val="007E626A"/>
    <w:rsid w:val="007E7769"/>
    <w:rsid w:val="007F038F"/>
    <w:rsid w:val="00812936"/>
    <w:rsid w:val="00812993"/>
    <w:rsid w:val="008162D6"/>
    <w:rsid w:val="0081650C"/>
    <w:rsid w:val="00834790"/>
    <w:rsid w:val="00842E8D"/>
    <w:rsid w:val="00856698"/>
    <w:rsid w:val="00860E43"/>
    <w:rsid w:val="00885158"/>
    <w:rsid w:val="00887393"/>
    <w:rsid w:val="008927FE"/>
    <w:rsid w:val="008972C5"/>
    <w:rsid w:val="008A7395"/>
    <w:rsid w:val="008C0355"/>
    <w:rsid w:val="008C1428"/>
    <w:rsid w:val="008C4162"/>
    <w:rsid w:val="008C726D"/>
    <w:rsid w:val="008D52B7"/>
    <w:rsid w:val="008E0CC7"/>
    <w:rsid w:val="008F6C96"/>
    <w:rsid w:val="0090447B"/>
    <w:rsid w:val="00932D2A"/>
    <w:rsid w:val="00944E03"/>
    <w:rsid w:val="00951EDE"/>
    <w:rsid w:val="00957CC1"/>
    <w:rsid w:val="00961443"/>
    <w:rsid w:val="009716C7"/>
    <w:rsid w:val="00971D77"/>
    <w:rsid w:val="0098310D"/>
    <w:rsid w:val="009A482C"/>
    <w:rsid w:val="009A7343"/>
    <w:rsid w:val="009B1391"/>
    <w:rsid w:val="009C2828"/>
    <w:rsid w:val="009C487C"/>
    <w:rsid w:val="009D14B0"/>
    <w:rsid w:val="00A076E3"/>
    <w:rsid w:val="00A13A89"/>
    <w:rsid w:val="00A205E2"/>
    <w:rsid w:val="00A21063"/>
    <w:rsid w:val="00A2614D"/>
    <w:rsid w:val="00A36175"/>
    <w:rsid w:val="00A410AE"/>
    <w:rsid w:val="00A43689"/>
    <w:rsid w:val="00A43CAC"/>
    <w:rsid w:val="00A50306"/>
    <w:rsid w:val="00A76491"/>
    <w:rsid w:val="00A84717"/>
    <w:rsid w:val="00A848CE"/>
    <w:rsid w:val="00A8724D"/>
    <w:rsid w:val="00A90A55"/>
    <w:rsid w:val="00AA365D"/>
    <w:rsid w:val="00AA6F18"/>
    <w:rsid w:val="00AB6038"/>
    <w:rsid w:val="00AC69F5"/>
    <w:rsid w:val="00AD4560"/>
    <w:rsid w:val="00AD632D"/>
    <w:rsid w:val="00AF4F37"/>
    <w:rsid w:val="00B134A6"/>
    <w:rsid w:val="00B25580"/>
    <w:rsid w:val="00B25949"/>
    <w:rsid w:val="00B32A59"/>
    <w:rsid w:val="00B37A62"/>
    <w:rsid w:val="00B45FA2"/>
    <w:rsid w:val="00B55D20"/>
    <w:rsid w:val="00B621D6"/>
    <w:rsid w:val="00B632B7"/>
    <w:rsid w:val="00B63D2C"/>
    <w:rsid w:val="00B64941"/>
    <w:rsid w:val="00B70538"/>
    <w:rsid w:val="00B8041A"/>
    <w:rsid w:val="00B81CDB"/>
    <w:rsid w:val="00B81DA4"/>
    <w:rsid w:val="00B9487F"/>
    <w:rsid w:val="00B95862"/>
    <w:rsid w:val="00BA570B"/>
    <w:rsid w:val="00BB6325"/>
    <w:rsid w:val="00BB63C3"/>
    <w:rsid w:val="00BB65B8"/>
    <w:rsid w:val="00BC614F"/>
    <w:rsid w:val="00BD1F86"/>
    <w:rsid w:val="00BD449D"/>
    <w:rsid w:val="00BD79AE"/>
    <w:rsid w:val="00BE0466"/>
    <w:rsid w:val="00BE0C2F"/>
    <w:rsid w:val="00BF0A99"/>
    <w:rsid w:val="00BF7538"/>
    <w:rsid w:val="00C07466"/>
    <w:rsid w:val="00C22738"/>
    <w:rsid w:val="00C60D24"/>
    <w:rsid w:val="00C64D0A"/>
    <w:rsid w:val="00C7043F"/>
    <w:rsid w:val="00C75010"/>
    <w:rsid w:val="00C75505"/>
    <w:rsid w:val="00C7563F"/>
    <w:rsid w:val="00C86F1B"/>
    <w:rsid w:val="00CA041E"/>
    <w:rsid w:val="00CA1003"/>
    <w:rsid w:val="00CA2003"/>
    <w:rsid w:val="00CB68D5"/>
    <w:rsid w:val="00CC414C"/>
    <w:rsid w:val="00D07C06"/>
    <w:rsid w:val="00D14712"/>
    <w:rsid w:val="00D262F5"/>
    <w:rsid w:val="00D30B55"/>
    <w:rsid w:val="00D33A63"/>
    <w:rsid w:val="00D42E48"/>
    <w:rsid w:val="00D45996"/>
    <w:rsid w:val="00D830C8"/>
    <w:rsid w:val="00D873D3"/>
    <w:rsid w:val="00DA78DD"/>
    <w:rsid w:val="00DB4E01"/>
    <w:rsid w:val="00DC1912"/>
    <w:rsid w:val="00DC7161"/>
    <w:rsid w:val="00DD3228"/>
    <w:rsid w:val="00DE2390"/>
    <w:rsid w:val="00DE28CB"/>
    <w:rsid w:val="00DF2FED"/>
    <w:rsid w:val="00E02C69"/>
    <w:rsid w:val="00E05073"/>
    <w:rsid w:val="00E116AA"/>
    <w:rsid w:val="00E20468"/>
    <w:rsid w:val="00E30557"/>
    <w:rsid w:val="00E34054"/>
    <w:rsid w:val="00E341A2"/>
    <w:rsid w:val="00E47D01"/>
    <w:rsid w:val="00E53F3C"/>
    <w:rsid w:val="00E63D9F"/>
    <w:rsid w:val="00E70BAE"/>
    <w:rsid w:val="00E90B1E"/>
    <w:rsid w:val="00EB0C0C"/>
    <w:rsid w:val="00EB7FE9"/>
    <w:rsid w:val="00EC00AA"/>
    <w:rsid w:val="00EC5228"/>
    <w:rsid w:val="00EF719E"/>
    <w:rsid w:val="00F03469"/>
    <w:rsid w:val="00F0786C"/>
    <w:rsid w:val="00F07C99"/>
    <w:rsid w:val="00F1090A"/>
    <w:rsid w:val="00F16450"/>
    <w:rsid w:val="00F2321F"/>
    <w:rsid w:val="00F2544B"/>
    <w:rsid w:val="00F3022C"/>
    <w:rsid w:val="00F441F1"/>
    <w:rsid w:val="00F4498C"/>
    <w:rsid w:val="00F470B5"/>
    <w:rsid w:val="00F47AAB"/>
    <w:rsid w:val="00F50B16"/>
    <w:rsid w:val="00F53B46"/>
    <w:rsid w:val="00F53BAF"/>
    <w:rsid w:val="00F612FE"/>
    <w:rsid w:val="00F6663D"/>
    <w:rsid w:val="00F7360A"/>
    <w:rsid w:val="00F7434F"/>
    <w:rsid w:val="00F74FAF"/>
    <w:rsid w:val="00F77C4D"/>
    <w:rsid w:val="00F95737"/>
    <w:rsid w:val="00FB0667"/>
    <w:rsid w:val="00FD264C"/>
    <w:rsid w:val="00FD6A5D"/>
    <w:rsid w:val="00FE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vertAlign w:val="superscript"/>
        <w:lang w:val="pl-PL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E43"/>
    <w:rPr>
      <w:vertAlign w:val="baseline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E30557"/>
    <w:pPr>
      <w:spacing w:after="0"/>
    </w:pPr>
  </w:style>
  <w:style w:type="character" w:customStyle="1" w:styleId="TekstprzypisudolnegoZnak">
    <w:name w:val="Tekst przypisu dolnego Znak"/>
    <w:link w:val="Tekstprzypisudolnego"/>
    <w:uiPriority w:val="99"/>
    <w:rsid w:val="00E30557"/>
    <w:rPr>
      <w:vertAlign w:val="baseline"/>
    </w:rPr>
  </w:style>
  <w:style w:type="character" w:customStyle="1" w:styleId="Nagwek1Znak">
    <w:name w:val="Nagłówek 1 Znak"/>
    <w:basedOn w:val="Domylnaczcionkaakapitu"/>
    <w:link w:val="Nagwek1"/>
    <w:uiPriority w:val="9"/>
    <w:rsid w:val="00444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Styl1">
    <w:name w:val="Styl1"/>
    <w:basedOn w:val="Tekstprzypisudolnego"/>
    <w:qFormat/>
    <w:rsid w:val="00444BCD"/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710964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64"/>
    <w:rPr>
      <w:szCs w:val="20"/>
      <w:vertAlign w:val="baseline"/>
    </w:rPr>
  </w:style>
  <w:style w:type="character" w:styleId="Odwoanieprzypisudolnego">
    <w:name w:val="footnote reference"/>
    <w:semiHidden/>
    <w:unhideWhenUsed/>
    <w:qFormat/>
    <w:rsid w:val="009C2828"/>
    <w:rPr>
      <w:rFonts w:ascii="Times New Roman" w:hAnsi="Times New Roman"/>
      <w:sz w:val="24"/>
      <w:vertAlign w:val="superscript"/>
    </w:rPr>
  </w:style>
  <w:style w:type="character" w:customStyle="1" w:styleId="highlight">
    <w:name w:val="highlight"/>
    <w:basedOn w:val="Domylnaczcionkaakapitu"/>
    <w:rsid w:val="004310C2"/>
  </w:style>
  <w:style w:type="character" w:customStyle="1" w:styleId="additionalfields">
    <w:name w:val="additionalfields"/>
    <w:basedOn w:val="Domylnaczcionkaakapitu"/>
    <w:rsid w:val="004310C2"/>
  </w:style>
  <w:style w:type="character" w:styleId="Uwydatnienie">
    <w:name w:val="Emphasis"/>
    <w:basedOn w:val="Domylnaczcionkaakapitu"/>
    <w:uiPriority w:val="20"/>
    <w:qFormat/>
    <w:rsid w:val="002E55E0"/>
    <w:rPr>
      <w:i/>
      <w:iCs/>
    </w:rPr>
  </w:style>
  <w:style w:type="character" w:customStyle="1" w:styleId="st">
    <w:name w:val="st"/>
    <w:basedOn w:val="Domylnaczcionkaakapitu"/>
    <w:rsid w:val="00A076E3"/>
  </w:style>
  <w:style w:type="paragraph" w:styleId="Tekstdymka">
    <w:name w:val="Balloon Text"/>
    <w:basedOn w:val="Normalny"/>
    <w:link w:val="TekstdymkaZnak"/>
    <w:uiPriority w:val="99"/>
    <w:semiHidden/>
    <w:unhideWhenUsed/>
    <w:rsid w:val="0069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5C8"/>
    <w:rPr>
      <w:rFonts w:ascii="Tahoma" w:hAnsi="Tahoma" w:cs="Tahoma"/>
      <w:sz w:val="16"/>
      <w:szCs w:val="16"/>
      <w:vertAlign w:val="baselin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9BBC3-125B-49F0-BE57-912FD085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9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50</cp:revision>
  <dcterms:created xsi:type="dcterms:W3CDTF">2017-04-02T15:53:00Z</dcterms:created>
  <dcterms:modified xsi:type="dcterms:W3CDTF">2017-04-05T11:30:00Z</dcterms:modified>
</cp:coreProperties>
</file>