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numPr>
          <w:ilvl w:val="0"/>
          <w:numId w:val="1"/>
        </w:numPr>
        <w:tabs>
          <w:tab w:val="left" w:pos="2870" w:leader="none"/>
        </w:tabs>
        <w:suppressAutoHyphens w:val="true"/>
        <w:spacing w:before="0" w:after="0" w:line="240"/>
        <w:ind w:right="0" w:left="432" w:hanging="432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KARTA KURSU</w:t>
      </w: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85"/>
        <w:gridCol w:w="7660"/>
      </w:tblGrid>
      <w:tr>
        <w:trPr>
          <w:trHeight w:val="395" w:hRule="auto"/>
          <w:jc w:val="left"/>
        </w:trPr>
        <w:tc>
          <w:tcPr>
            <w:tcW w:w="1985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Nazwa</w:t>
            </w:r>
          </w:p>
        </w:tc>
        <w:tc>
          <w:tcPr>
            <w:tcW w:w="7660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Historia sztuki B</w:t>
            </w:r>
          </w:p>
        </w:tc>
      </w:tr>
      <w:tr>
        <w:trPr>
          <w:trHeight w:val="379" w:hRule="auto"/>
          <w:jc w:val="left"/>
        </w:trPr>
        <w:tc>
          <w:tcPr>
            <w:tcW w:w="1985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Nazwa w j. ang.</w:t>
            </w:r>
          </w:p>
        </w:tc>
        <w:tc>
          <w:tcPr>
            <w:tcW w:w="7660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60" w:after="6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i/>
                <w:color w:val="333366"/>
                <w:spacing w:val="0"/>
                <w:position w:val="0"/>
                <w:sz w:val="14"/>
                <w:shd w:fill="auto" w:val="clear"/>
              </w:rPr>
              <w:t xml:space="preserve">History of Art B</w:t>
            </w: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85"/>
        <w:gridCol w:w="4394"/>
        <w:gridCol w:w="1985"/>
        <w:gridCol w:w="1281"/>
      </w:tblGrid>
      <w:tr>
        <w:trPr>
          <w:trHeight w:val="405" w:hRule="auto"/>
          <w:jc w:val="left"/>
        </w:trPr>
        <w:tc>
          <w:tcPr>
            <w:tcW w:w="1985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Kod</w:t>
            </w:r>
          </w:p>
        </w:tc>
        <w:tc>
          <w:tcPr>
            <w:tcW w:w="4394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57" w:after="57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Punktacja ECTS*</w:t>
            </w:r>
          </w:p>
        </w:tc>
        <w:tc>
          <w:tcPr>
            <w:tcW w:w="1281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85"/>
        <w:gridCol w:w="4394"/>
        <w:gridCol w:w="3266"/>
      </w:tblGrid>
      <w:tr>
        <w:trPr>
          <w:trHeight w:val="1" w:hRule="atLeast"/>
          <w:jc w:val="left"/>
          <w:cantSplit w:val="1"/>
        </w:trPr>
        <w:tc>
          <w:tcPr>
            <w:tcW w:w="1985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57" w:after="57" w:line="240"/>
              <w:ind w:right="2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Koordynator</w:t>
            </w:r>
          </w:p>
        </w:tc>
        <w:tc>
          <w:tcPr>
            <w:tcW w:w="4394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Dr Bernadeta Stano</w:t>
            </w:r>
          </w:p>
        </w:tc>
        <w:tc>
          <w:tcPr>
            <w:tcW w:w="3266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Zespó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 dydaktyczny</w:t>
            </w:r>
          </w:p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Dr Bernadeta Stano</w:t>
            </w:r>
          </w:p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Prof. Rafa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 Solewski</w:t>
            </w:r>
          </w:p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Opis kursu (cele 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łcenia)</w:t>
      </w: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294"/>
      </w:tblGrid>
      <w:tr>
        <w:trPr>
          <w:trHeight w:val="1365" w:hRule="auto"/>
          <w:jc w:val="left"/>
        </w:trPr>
        <w:tc>
          <w:tcPr>
            <w:tcW w:w="929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widowControl w:val="false"/>
              <w:tabs>
                <w:tab w:val="left" w:pos="2870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Kurs historia i teoria sztuki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łuży zdobyciu i pogłębieniu wiedzy o kierunkach i stylach artystycznych, ich chronologii i wzajemnych powiązaniach. Szczeg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łowo analizowane są zagadnienia związane z dziełami prezentowanymi na wykładach, a także poznawanymi w ramach wizyt w galeriach i muzeach oraz zaczerpnięty z bieżących publikacji naukowych. W ramach tych zajęć rozważa się 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żne definicje sztuki, przemiany w obrębie tej dyscypliny naukowej, oraz problem granicy pomiędzy sztuką dawną i wsp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łczesną. </w:t>
            </w:r>
          </w:p>
          <w:p>
            <w:pPr>
              <w:tabs>
                <w:tab w:val="left" w:pos="287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Warunki wst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ępne</w:t>
      </w: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41"/>
        <w:gridCol w:w="7704"/>
      </w:tblGrid>
      <w:tr>
        <w:trPr>
          <w:trHeight w:val="550" w:hRule="auto"/>
          <w:jc w:val="left"/>
        </w:trPr>
        <w:tc>
          <w:tcPr>
            <w:tcW w:w="1941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</w:t>
            </w:r>
          </w:p>
        </w:tc>
        <w:tc>
          <w:tcPr>
            <w:tcW w:w="7704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333366"/>
                <w:spacing w:val="0"/>
                <w:position w:val="0"/>
                <w:sz w:val="14"/>
                <w:shd w:fill="auto" w:val="clear"/>
              </w:rPr>
              <w:t xml:space="preserve">Znajomo</w:t>
            </w:r>
            <w:r>
              <w:rPr>
                <w:rFonts w:ascii="Verdana" w:hAnsi="Verdana" w:cs="Verdana" w:eastAsia="Verdana"/>
                <w:color w:val="333366"/>
                <w:spacing w:val="0"/>
                <w:position w:val="0"/>
                <w:sz w:val="14"/>
                <w:shd w:fill="auto" w:val="clear"/>
              </w:rPr>
              <w:t xml:space="preserve">ść historii sztuki powszechnej i polskiej w kontekście historycznym </w:t>
            </w:r>
            <w:r>
              <w:rPr>
                <w:rFonts w:ascii="Verdana" w:hAnsi="Verdana" w:cs="Verdana" w:eastAsia="Verdana"/>
                <w:color w:val="333366"/>
                <w:spacing w:val="0"/>
                <w:position w:val="0"/>
                <w:sz w:val="14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color w:val="333366"/>
                <w:spacing w:val="0"/>
                <w:position w:val="0"/>
                <w:sz w:val="14"/>
                <w:shd w:fill="auto" w:val="clear"/>
              </w:rPr>
              <w:t xml:space="preserve"> na poziomie szko</w:t>
            </w:r>
            <w:r>
              <w:rPr>
                <w:rFonts w:ascii="Verdana" w:hAnsi="Verdana" w:cs="Verdana" w:eastAsia="Verdana"/>
                <w:color w:val="333366"/>
                <w:spacing w:val="0"/>
                <w:position w:val="0"/>
                <w:sz w:val="14"/>
                <w:shd w:fill="auto" w:val="clear"/>
              </w:rPr>
              <w:t xml:space="preserve">ły licealnej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1941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7704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rozpoznawanie stylów historycznych, identyfikowanie najwybitniejszych dzie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ł i artyst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ów ró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żnych epok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41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Kursy</w:t>
            </w:r>
          </w:p>
        </w:tc>
        <w:tc>
          <w:tcPr>
            <w:tcW w:w="7704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Kurs: Historia sztuki A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Efekty 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łcenia </w:t>
      </w: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04"/>
        <w:gridCol w:w="5079"/>
        <w:gridCol w:w="2311"/>
      </w:tblGrid>
      <w:tr>
        <w:trPr>
          <w:trHeight w:val="930" w:hRule="auto"/>
          <w:jc w:val="left"/>
          <w:cantSplit w:val="1"/>
        </w:trPr>
        <w:tc>
          <w:tcPr>
            <w:tcW w:w="1904" w:type="dxa"/>
            <w:vMerge w:val="restart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</w:t>
            </w:r>
          </w:p>
        </w:tc>
        <w:tc>
          <w:tcPr>
            <w:tcW w:w="5079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311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1838" w:hRule="auto"/>
          <w:jc w:val="left"/>
        </w:trPr>
        <w:tc>
          <w:tcPr>
            <w:tcW w:w="1904" w:type="dxa"/>
            <w:vMerge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79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W01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Potrafi okre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ślić ramy czasowe poszczeg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ólnych epok.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Zna podstawowe dzie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ła z omawianych epok. Identyfikuje najważniejsze zabytki Krakowa.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Zna sylwetki znanych i omawianych artystów.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Zna konwencje przedstawieniowe i stylistyczne (klasycyzm, realizm, naturalizm, abstrakcja).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W03  - Potrafi wyró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żnić cechy charakterystyczne dzieł malarskich rzeźbiarskich i architektonicznych poszczeg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ólnych epok.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W04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Zna tytu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ły i zawartość periodyk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ów zawieraj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ących teksty naukowe z historii sztuki oraz czasopism popularnonaukowych Zna podstawową literaturę dotyczącą przedmiotu.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W05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Potrafi 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założenia najważniejszych traktat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ów o sztuce.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W06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Zna terminy zwi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ązane ze sztukami plastycznymi poszczeg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ólnych epok /m. n. porz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ądki w architekturze, techniki malarstwa i rzeźby/. Student definiuje pojęcia kultura, sztuka ,artysta, zna podstawowe klasyfikacje dziedzin sztuki, kategorie estetyczne (piękno, wzniosłość, malowniczość, mimesis).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11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K_W02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K_W02, K_W03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K_W03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K_W04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8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K_W02; K_W03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K_W02; K_W03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985"/>
        <w:gridCol w:w="5245"/>
        <w:gridCol w:w="2420"/>
      </w:tblGrid>
      <w:tr>
        <w:trPr>
          <w:trHeight w:val="939" w:hRule="auto"/>
          <w:jc w:val="left"/>
          <w:cantSplit w:val="1"/>
        </w:trPr>
        <w:tc>
          <w:tcPr>
            <w:tcW w:w="1985" w:type="dxa"/>
            <w:vMerge w:val="restart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524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420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2116" w:hRule="auto"/>
          <w:jc w:val="left"/>
        </w:trPr>
        <w:tc>
          <w:tcPr>
            <w:tcW w:w="1985" w:type="dxa"/>
            <w:vMerge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U01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Posiada umiej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ętność wystąpień ustnych i potrafi wskazać źr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ła, z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órych korzysta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 przy przygotowaniu powyższej prezentacji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Potrafi wskaza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ć,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óre z poznanych technik i które sylwetki artystów i dlaczego warto wybra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do 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ówienia w ramach przysz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łej pracy zawodowej 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U03 - Posiada zasób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łownictwa pozwalający opisać formę  wybranego dzieła sztuki /m. in. jego kompozycję, kolorystykę/ i potrafi analizować dzieło pod wzglądem podstawowych treści, ikonografii, genezy stylistycznej   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20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K_U05; K_U06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K_U06; K_U08;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85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K_U05; K_U06 </w:t>
            </w: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42"/>
        <w:gridCol w:w="5000"/>
        <w:gridCol w:w="2352"/>
      </w:tblGrid>
      <w:tr>
        <w:trPr>
          <w:trHeight w:val="800" w:hRule="auto"/>
          <w:jc w:val="left"/>
          <w:cantSplit w:val="1"/>
        </w:trPr>
        <w:tc>
          <w:tcPr>
            <w:tcW w:w="1942" w:type="dxa"/>
            <w:vMerge w:val="restart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Kompetencje spo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łeczne</w:t>
            </w:r>
          </w:p>
        </w:tc>
        <w:tc>
          <w:tcPr>
            <w:tcW w:w="5000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3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1984" w:hRule="auto"/>
          <w:jc w:val="left"/>
        </w:trPr>
        <w:tc>
          <w:tcPr>
            <w:tcW w:w="1942" w:type="dxa"/>
            <w:vMerge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00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K01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Rozumie potrzeb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ę ciągłego poszerzania wiadomość z zakresu historii sztuki ze względu na postęp badań naukowych nad poszczeg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ólnymi epokami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Gromadzi informacje i potrafi je interpretowa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zar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ówno ze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źr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óde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 naukowych jak i massmedi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ów 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Rozumie potrzeb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ę interesowania się innymi obszarami sztuki /np. muzyki, teatru, filmu/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K05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Potrafi oceni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wartość /niematerialną/ wybranych dzieł sztuki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K06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Potrafi oceni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własny wkład pracy i efekty swojej prezentacji 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Wykazuje umiej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ętność podjęcia dyskusji o znaczeniu poszczeg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ólnych dzie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 sztuki w kontekście szeroko pojętej kultury 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K_K06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120" w:line="240"/>
              <w:ind w:right="0" w:left="28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K_K07; K_K08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120" w:line="240"/>
              <w:ind w:right="0" w:left="28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120" w:line="240"/>
              <w:ind w:right="0" w:left="28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K_K08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K_K03;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K_K08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>
        <w:trPr>
          <w:trHeight w:val="424" w:hRule="auto"/>
          <w:jc w:val="left"/>
          <w:cantSplit w:val="1"/>
        </w:trPr>
        <w:tc>
          <w:tcPr>
            <w:tcW w:w="9645" w:type="dxa"/>
            <w:gridSpan w:val="14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137" w:left="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Organizacja</w:t>
            </w:r>
          </w:p>
        </w:tc>
      </w:tr>
      <w:tr>
        <w:trPr>
          <w:trHeight w:val="654" w:hRule="auto"/>
          <w:jc w:val="left"/>
        </w:trPr>
        <w:tc>
          <w:tcPr>
            <w:tcW w:w="1611" w:type="dxa"/>
            <w:vMerge w:val="restart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 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ęć</w:t>
            </w:r>
          </w:p>
        </w:tc>
        <w:tc>
          <w:tcPr>
            <w:tcW w:w="1225" w:type="dxa"/>
            <w:vMerge w:val="restart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</w:p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(W)</w:t>
            </w:r>
          </w:p>
        </w:tc>
        <w:tc>
          <w:tcPr>
            <w:tcW w:w="6809" w:type="dxa"/>
            <w:gridSpan w:val="12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 w grupach</w:t>
            </w:r>
          </w:p>
        </w:tc>
      </w:tr>
      <w:tr>
        <w:trPr>
          <w:trHeight w:val="477" w:hRule="auto"/>
          <w:jc w:val="left"/>
        </w:trPr>
        <w:tc>
          <w:tcPr>
            <w:tcW w:w="1611" w:type="dxa"/>
            <w:vMerge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dbe5f1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5" w:type="dxa"/>
            <w:vMerge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</w:tc>
        <w:tc>
          <w:tcPr>
            <w:tcW w:w="272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2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</w:t>
            </w:r>
          </w:p>
        </w:tc>
        <w:tc>
          <w:tcPr>
            <w:tcW w:w="315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</w:p>
        </w:tc>
        <w:tc>
          <w:tcPr>
            <w:tcW w:w="284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</w:p>
        </w:tc>
        <w:tc>
          <w:tcPr>
            <w:tcW w:w="284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</w:p>
        </w:tc>
        <w:tc>
          <w:tcPr>
            <w:tcW w:w="284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</w:tc>
        <w:tc>
          <w:tcPr>
            <w:tcW w:w="289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9" w:hRule="auto"/>
          <w:jc w:val="left"/>
        </w:trPr>
        <w:tc>
          <w:tcPr>
            <w:tcW w:w="1611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dbe5f1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</w:t>
            </w:r>
          </w:p>
        </w:tc>
        <w:tc>
          <w:tcPr>
            <w:tcW w:w="1225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1122" w:type="dxa"/>
            <w:gridSpan w:val="2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gridSpan w:val="2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gridSpan w:val="2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9" w:type="dxa"/>
            <w:gridSpan w:val="2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2" w:hRule="auto"/>
          <w:jc w:val="left"/>
        </w:trPr>
        <w:tc>
          <w:tcPr>
            <w:tcW w:w="1611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5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2" w:type="dxa"/>
            <w:gridSpan w:val="2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gridSpan w:val="2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gridSpan w:val="2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9" w:type="dxa"/>
            <w:gridSpan w:val="2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LineNumbers w:val="true"/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Opis metod prowadzenia 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ęć</w:t>
      </w: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294"/>
      </w:tblGrid>
      <w:tr>
        <w:trPr>
          <w:trHeight w:val="1920" w:hRule="auto"/>
          <w:jc w:val="left"/>
        </w:trPr>
        <w:tc>
          <w:tcPr>
            <w:tcW w:w="929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prowadzone są w formie wykładu opatrzonego z prezentacjami slajd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ów i fragmentów filmów o sztuce. Wyk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ład kończą pytania student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dotycz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ące treści prezentowanych na wykładzie.</w:t>
            </w:r>
          </w:p>
        </w:tc>
      </w:tr>
    </w:tbl>
    <w:p>
      <w:pPr>
        <w:suppressLineNumbers w:val="true"/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Formy sprawdzania efektów 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łcenia</w:t>
      </w:r>
    </w:p>
    <w:p>
      <w:pPr>
        <w:suppressLineNumbers w:val="true"/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26"/>
        <w:gridCol w:w="644"/>
        <w:gridCol w:w="644"/>
        <w:gridCol w:w="643"/>
        <w:gridCol w:w="643"/>
        <w:gridCol w:w="643"/>
        <w:gridCol w:w="643"/>
        <w:gridCol w:w="643"/>
        <w:gridCol w:w="643"/>
        <w:gridCol w:w="552"/>
        <w:gridCol w:w="735"/>
        <w:gridCol w:w="643"/>
        <w:gridCol w:w="643"/>
        <w:gridCol w:w="653"/>
      </w:tblGrid>
      <w:tr>
        <w:trPr>
          <w:trHeight w:val="1616" w:hRule="auto"/>
          <w:jc w:val="left"/>
          <w:cantSplit w:val="1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learning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Gry dydaktyczne</w:t>
            </w: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 w szkole</w:t>
            </w: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terenowe</w:t>
            </w: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laboratoryjna</w:t>
            </w: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indywidualny</w:t>
            </w: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grupowy</w:t>
            </w: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 w dyskusji</w:t>
            </w: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Referat</w:t>
            </w: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pisemna (esej)</w:t>
            </w: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ustny</w:t>
            </w: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pisemny</w:t>
            </w: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Inne</w:t>
            </w:r>
          </w:p>
        </w:tc>
      </w:tr>
      <w:tr>
        <w:trPr>
          <w:trHeight w:val="244" w:hRule="auto"/>
          <w:jc w:val="left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W01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W02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W03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W04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W05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W06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4" w:hRule="auto"/>
          <w:jc w:val="left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U01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U02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U03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4" w:hRule="auto"/>
          <w:jc w:val="left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K01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K02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K05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926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K06</w:t>
            </w: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5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LineNumbers w:val="true"/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41"/>
        <w:gridCol w:w="7704"/>
      </w:tblGrid>
      <w:tr>
        <w:trPr>
          <w:trHeight w:val="1" w:hRule="atLeast"/>
          <w:jc w:val="left"/>
        </w:trPr>
        <w:tc>
          <w:tcPr>
            <w:tcW w:w="1941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Kryteria oceny</w:t>
            </w:r>
          </w:p>
        </w:tc>
        <w:tc>
          <w:tcPr>
            <w:tcW w:w="7704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Kolokwium zaliczeniowe z takich zagadnie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ń jak: /opis i analiza dzieła według klucza/</w:t>
            </w:r>
          </w:p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źba prehistoryczna</w:t>
            </w:r>
          </w:p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źba starożytnego Rzymu</w:t>
            </w:r>
          </w:p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źba romańska we Francji</w:t>
            </w:r>
          </w:p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Malarstwo karoli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ńskie </w:t>
            </w:r>
          </w:p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Stanis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ław Wyspiański</w:t>
            </w:r>
          </w:p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+ pytania z pierwszego wyk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ładu</w:t>
            </w:r>
          </w:p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Forma egzaminu ko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ńcowego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(zaliczenie z oceną)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Egzamin testowy (test wyboru, ok. 30 pyta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ń).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Materiał z I i II semestru + samodzielnie zobaczone obiekty i wiedza zdobyta na ich temat.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 Możliwość korekty oceny podczas indywidualnej rozmowy połączonej z pytaniami dot. problematyki prezentowanej i dyskutowanej na zajęciach.  </w:t>
            </w:r>
          </w:p>
          <w:p>
            <w:pPr>
              <w:suppressLineNumbers w:val="true"/>
              <w:tabs>
                <w:tab w:val="left" w:pos="2870" w:leader="none"/>
              </w:tabs>
              <w:suppressAutoHyphens w:val="true"/>
              <w:spacing w:before="57" w:after="57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Ocena: kolokwium + test =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średnia </w:t>
            </w: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41"/>
        <w:gridCol w:w="7704"/>
      </w:tblGrid>
      <w:tr>
        <w:trPr>
          <w:trHeight w:val="1089" w:hRule="auto"/>
          <w:jc w:val="left"/>
        </w:trPr>
        <w:tc>
          <w:tcPr>
            <w:tcW w:w="1941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000000" w:sz="0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Uwagi</w:t>
            </w:r>
          </w:p>
        </w:tc>
        <w:tc>
          <w:tcPr>
            <w:tcW w:w="7704" w:type="dxa"/>
            <w:tcBorders>
              <w:top w:val="single" w:color="c0c0c0" w:sz="1"/>
              <w:left w:val="single" w:color="c0c0c0" w:sz="1"/>
              <w:bottom w:val="single" w:color="c0c0c0" w:sz="1"/>
              <w:right w:val="single" w:color="c0c0c0" w:sz="1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-828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Student ma 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żliwość kontaktu z prowadzącym zajęcia przez e-mail: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bernadeta.stano@op.pl</w:t>
              </w:r>
            </w:hyperlink>
          </w:p>
          <w:p>
            <w:pPr>
              <w:tabs>
                <w:tab w:val="left" w:pos="720" w:leader="none"/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9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 zwi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ązku z dużą liczebnością grupy, student jest zobowiązany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do samodzielnego obejrzenia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w Krakowie: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Wystawa Stanisława Wyspiańskiego w Muzeum Narodowym!!!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position w:val="0"/>
                <w:sz w:val="20"/>
                <w:shd w:fill="FFFFFF" w:val="clear"/>
              </w:rPr>
              <w:t xml:space="preserve">wystawa Wawel Zaginiony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, ko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ści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ł Mariacki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position w:val="0"/>
                <w:sz w:val="20"/>
                <w:shd w:fill="FFFFFF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0"/>
                <w:shd w:fill="FFFFFF" w:val="clear"/>
              </w:rPr>
              <w:t xml:space="preserve"> kościoły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Franciszkan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ów i Dominikanów, ko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ści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ł św. Andrzeja,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Kaplica Zygmuntowska, Kru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żganki na Wawelu, Kości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ł św. Anny, Kości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ł Piotra i Pawła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Ko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ści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ł Pijar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ów, Galeria Sztuki Polskiej Sukiennice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Student ma obowi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ązek obejrzenia film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ów prezentowanych na zaj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ęciach we fragmentach we własnym zakresie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 w ca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łości.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-828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nieobecno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ści w semestrze bez usprawiedliwienia są dopuszczalne. </w:t>
            </w: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merytoryczne (wykaz temat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ów)</w:t>
      </w: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294"/>
      </w:tblGrid>
      <w:tr>
        <w:trPr>
          <w:trHeight w:val="1136" w:hRule="auto"/>
          <w:jc w:val="left"/>
        </w:trPr>
        <w:tc>
          <w:tcPr>
            <w:tcW w:w="929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widowControl w:val="false"/>
              <w:numPr>
                <w:ilvl w:val="0"/>
                <w:numId w:val="161"/>
              </w:numPr>
              <w:tabs>
                <w:tab w:val="left" w:pos="287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Funkcje sztuki. /estetyczna, komunikacyjna, poznawcza, etyczna, wychowawcza i edukacyjna, religijna i magiczna, emocjonalna, terapeutyczna ludyczna, identyfikacyjna i integracyjna,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żytkowa/</w:t>
            </w:r>
          </w:p>
          <w:p>
            <w:pPr>
              <w:widowControl w:val="false"/>
              <w:numPr>
                <w:ilvl w:val="0"/>
                <w:numId w:val="161"/>
              </w:numPr>
              <w:tabs>
                <w:tab w:val="left" w:pos="287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Bretania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w poszukiwaniu korzeni sztuki. /prehistoryczne malowid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ła i rzeźby/</w:t>
            </w:r>
          </w:p>
          <w:p>
            <w:pPr>
              <w:widowControl w:val="false"/>
              <w:numPr>
                <w:ilvl w:val="0"/>
                <w:numId w:val="161"/>
              </w:numPr>
              <w:tabs>
                <w:tab w:val="left" w:pos="287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Rzym cesarzy /architektura i rze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źba rzymska/ </w:t>
            </w:r>
          </w:p>
          <w:p>
            <w:pPr>
              <w:widowControl w:val="false"/>
              <w:numPr>
                <w:ilvl w:val="0"/>
                <w:numId w:val="161"/>
              </w:numPr>
              <w:tabs>
                <w:tab w:val="left" w:pos="287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Mroki i blaski wczesnego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średniowiecza /Akwizgran Karola Wielkiego, malarstwo miniaturowe/</w:t>
            </w:r>
          </w:p>
          <w:p>
            <w:pPr>
              <w:widowControl w:val="false"/>
              <w:numPr>
                <w:ilvl w:val="0"/>
                <w:numId w:val="161"/>
              </w:numPr>
              <w:tabs>
                <w:tab w:val="left" w:pos="287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Romanizm  w klasztorach Francji  /rze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źba romańska/ </w:t>
            </w:r>
          </w:p>
          <w:p>
            <w:pPr>
              <w:widowControl w:val="false"/>
              <w:numPr>
                <w:ilvl w:val="0"/>
                <w:numId w:val="161"/>
              </w:numPr>
              <w:tabs>
                <w:tab w:val="left" w:pos="287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śnieni katedrami /architektura Ile de France i wsp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łczesna recepcja katedry/ </w:t>
            </w:r>
          </w:p>
          <w:p>
            <w:pPr>
              <w:widowControl w:val="false"/>
              <w:numPr>
                <w:ilvl w:val="0"/>
                <w:numId w:val="161"/>
              </w:numPr>
              <w:tabs>
                <w:tab w:val="left" w:pos="287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Florencja -  miasto Filippo Bruneleschiego i Sandro Botticellego</w:t>
            </w:r>
          </w:p>
          <w:p>
            <w:pPr>
              <w:widowControl w:val="false"/>
              <w:numPr>
                <w:ilvl w:val="0"/>
                <w:numId w:val="161"/>
              </w:numPr>
              <w:tabs>
                <w:tab w:val="left" w:pos="287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Rzym papie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ży /tw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órczo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ść Berniniego i Borrominiego/ </w:t>
            </w:r>
          </w:p>
          <w:p>
            <w:pPr>
              <w:widowControl w:val="false"/>
              <w:numPr>
                <w:ilvl w:val="0"/>
                <w:numId w:val="161"/>
              </w:numPr>
              <w:tabs>
                <w:tab w:val="left" w:pos="287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Wenecja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walka postu z karnawa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łem /malarstwo weneckie Bellinich, Tintoretto, rodzina Tiepolo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ojciec i syn, Canaletto, Guardi/ </w:t>
            </w:r>
          </w:p>
          <w:p>
            <w:pPr>
              <w:widowControl w:val="false"/>
              <w:numPr>
                <w:ilvl w:val="0"/>
                <w:numId w:val="161"/>
              </w:numPr>
              <w:tabs>
                <w:tab w:val="left" w:pos="287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Holandia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łotego wieku” Rembrandta i Vermeera </w:t>
            </w:r>
          </w:p>
          <w:p>
            <w:pPr>
              <w:widowControl w:val="false"/>
              <w:numPr>
                <w:ilvl w:val="0"/>
                <w:numId w:val="161"/>
              </w:numPr>
              <w:tabs>
                <w:tab w:val="left" w:pos="287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Z paryskiej pracowni Courbeta do londy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ńskiego muzeum figur woskowych /realizm i hiperrealizm/</w:t>
            </w:r>
          </w:p>
          <w:p>
            <w:pPr>
              <w:widowControl w:val="false"/>
              <w:numPr>
                <w:ilvl w:val="0"/>
                <w:numId w:val="161"/>
              </w:numPr>
              <w:tabs>
                <w:tab w:val="left" w:pos="287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test</w:t>
            </w:r>
          </w:p>
          <w:p>
            <w:pPr>
              <w:widowControl w:val="false"/>
              <w:tabs>
                <w:tab w:val="left" w:pos="287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Wykaz literatury podstawowej</w:t>
      </w: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294"/>
      </w:tblGrid>
      <w:tr>
        <w:trPr>
          <w:trHeight w:val="1098" w:hRule="auto"/>
          <w:jc w:val="left"/>
        </w:trPr>
        <w:tc>
          <w:tcPr>
            <w:tcW w:w="929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Jan Bia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łostocki, Sztuka cenniejsza niż złoto albo Karol Estreicher, Historia sztuki w zarysie, dowolne wydania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Sztuka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świata, t. 1-12, dowolne wydania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709" w:hanging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Tadeusz Dobrowolski,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Sztuka Krakowa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dowolne wydanie.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709" w:hanging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Maria Rzepi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ńska,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Siedem wiek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ów malarstwa europejskiego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dowolne wydanie.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ładysław Tatarkiewicz,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Dzieje sześciu pojęć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Warszawa 1976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Wykaz literatury uzupe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łniającej</w:t>
      </w: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294"/>
      </w:tblGrid>
      <w:tr>
        <w:trPr>
          <w:trHeight w:val="1112" w:hRule="auto"/>
          <w:jc w:val="left"/>
        </w:trPr>
        <w:tc>
          <w:tcPr>
            <w:tcW w:w="9294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ab/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Poszczególne epoki i kierunki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H. Honour,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Neoklasycyzm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1972 (t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łum. z ang., 1968).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M. Poprz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ędzka,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Akademizm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1977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G. Crepaldi,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Impresjoni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ści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2004 [tłum, z włoskiego]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W. Juszczak,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Postimpresjoni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ści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1985 (i wcześniejsze wydania).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G. Fahr-Belcer,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Secesja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2000? (t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łum. z niemieckiego)</w:t>
              <w:tab/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M. Por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ębski,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Kubizm: wprowadzenie do sztuki XX wieku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1986.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A. Kotula, P. Krakowski,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Sztuka abstrakcyjna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1973.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U. Czartoryska,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Od pop-artu do sztuki konceptualnej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1974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T. Rudomino, Ma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ły leksykon sztuki wsp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ó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łczesnej, Wrszawa 1990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Z. Home, Gwa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łt na kulturze. Warszawa 1993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G. Dziamski,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Awangarda po awangardzie: od neoawangardy do postmodernizmu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Pozna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ń 1995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G. Dziamski,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Sztuka u progu XXI wieku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Pozna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ń 2002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4"/>
                <w:shd w:fill="auto" w:val="clear"/>
              </w:rPr>
              <w:tab/>
              <w:t xml:space="preserve">Sztuka polska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A. Mi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łobędzki,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Zarys dziej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ów architektury w Polsce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1968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Malarstwo polskie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: M. Walicki, W. Tomkiewicz, A. Ryszkiewicz,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Manieryzm, barok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1971; A. Ryszkiewicz,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Romantyzm, historyzm, realizm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1989; W. Juszczak,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Modernizm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1977; J. Pollakówna,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Mi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ędzy wojnami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1982; 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S. Krzysztofowicz-Kozakowska, F. Stolot,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Mistrzowie malarstwa polskiego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Kraków 2000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M. Poprz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ęcka,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Arcydzieła malarstwa polskiego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2000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Malarstwo polskie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praca zbiorowa, Warszawa 2000</w:t>
            </w:r>
          </w:p>
          <w:p>
            <w:pPr>
              <w:tabs>
                <w:tab w:val="left" w:pos="28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Wojciech W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łodarczyk, </w:t>
            </w:r>
            <w:r>
              <w:rPr>
                <w:rFonts w:ascii="Verdana" w:hAnsi="Verdana" w:cs="Verdana" w:eastAsia="Verdana"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Sztuka polska 1918-2000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4"/>
                <w:shd w:fill="auto" w:val="clear"/>
              </w:rPr>
              <w:t xml:space="preserve">, Warszawa 2000</w:t>
            </w: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Bilans godzinowy zgodny z CNPS (Ca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łkowity Nakład Pracy Studenta)</w:t>
      </w:r>
    </w:p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695"/>
        <w:gridCol w:w="5542"/>
        <w:gridCol w:w="1061"/>
      </w:tblGrid>
      <w:tr>
        <w:trPr>
          <w:trHeight w:val="334" w:hRule="auto"/>
          <w:jc w:val="left"/>
          <w:cantSplit w:val="1"/>
        </w:trPr>
        <w:tc>
          <w:tcPr>
            <w:tcW w:w="2695" w:type="dxa"/>
            <w:vMerge w:val="restart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ść godzin w kontakcie z prowadzącymi</w:t>
            </w:r>
          </w:p>
        </w:tc>
        <w:tc>
          <w:tcPr>
            <w:tcW w:w="554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</w:p>
        </w:tc>
        <w:tc>
          <w:tcPr>
            <w:tcW w:w="1061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</w:tr>
      <w:tr>
        <w:trPr>
          <w:trHeight w:val="332" w:hRule="auto"/>
          <w:jc w:val="left"/>
        </w:trPr>
        <w:tc>
          <w:tcPr>
            <w:tcW w:w="2695" w:type="dxa"/>
            <w:vMerge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4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Konwersatorium 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ćwiczenia, laboratorium itd.)</w:t>
            </w:r>
          </w:p>
        </w:tc>
        <w:tc>
          <w:tcPr>
            <w:tcW w:w="1061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0" w:hRule="auto"/>
          <w:jc w:val="left"/>
        </w:trPr>
        <w:tc>
          <w:tcPr>
            <w:tcW w:w="2695" w:type="dxa"/>
            <w:vMerge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4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Pozosta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 godziny kontaktu studenta z prowadzącym</w:t>
            </w:r>
          </w:p>
        </w:tc>
        <w:tc>
          <w:tcPr>
            <w:tcW w:w="1061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</w:tr>
      <w:tr>
        <w:trPr>
          <w:trHeight w:val="348" w:hRule="auto"/>
          <w:jc w:val="left"/>
        </w:trPr>
        <w:tc>
          <w:tcPr>
            <w:tcW w:w="2695" w:type="dxa"/>
            <w:vMerge w:val="restart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ść godzin pracy studenta bez kontaktu z prowadzącymi</w:t>
            </w:r>
          </w:p>
        </w:tc>
        <w:tc>
          <w:tcPr>
            <w:tcW w:w="554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Lektura w ramach przygotowania do 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ęć</w:t>
            </w:r>
          </w:p>
        </w:tc>
        <w:tc>
          <w:tcPr>
            <w:tcW w:w="1061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  <w:tr>
        <w:trPr>
          <w:trHeight w:val="710" w:hRule="auto"/>
          <w:jc w:val="left"/>
        </w:trPr>
        <w:tc>
          <w:tcPr>
            <w:tcW w:w="2695" w:type="dxa"/>
            <w:vMerge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4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krótkiej pracy pisemnej lub referatu po zapoznaniu 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 z niezbędną literaturą przedmiotu</w:t>
            </w:r>
          </w:p>
        </w:tc>
        <w:tc>
          <w:tcPr>
            <w:tcW w:w="1061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1" w:hRule="auto"/>
          <w:jc w:val="left"/>
        </w:trPr>
        <w:tc>
          <w:tcPr>
            <w:tcW w:w="2695" w:type="dxa"/>
            <w:vMerge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4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projektu lub prezentacji na podany temat (praca w grupie)</w:t>
            </w:r>
          </w:p>
        </w:tc>
        <w:tc>
          <w:tcPr>
            <w:tcW w:w="1061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2695" w:type="dxa"/>
            <w:vMerge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42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do egzaminu</w:t>
            </w:r>
          </w:p>
        </w:tc>
        <w:tc>
          <w:tcPr>
            <w:tcW w:w="1061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65" w:hRule="auto"/>
          <w:jc w:val="left"/>
        </w:trPr>
        <w:tc>
          <w:tcPr>
            <w:tcW w:w="8237" w:type="dxa"/>
            <w:gridSpan w:val="2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łem bilans czasu pracy</w:t>
            </w:r>
          </w:p>
        </w:tc>
        <w:tc>
          <w:tcPr>
            <w:tcW w:w="1061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50</w:t>
            </w:r>
          </w:p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92" w:hRule="auto"/>
          <w:jc w:val="left"/>
        </w:trPr>
        <w:tc>
          <w:tcPr>
            <w:tcW w:w="8237" w:type="dxa"/>
            <w:gridSpan w:val="2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ść punkt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ECTS w zale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żności od przyjętego przelicznika</w:t>
            </w:r>
          </w:p>
        </w:tc>
        <w:tc>
          <w:tcPr>
            <w:tcW w:w="1061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2870" w:leader="none"/>
              </w:tabs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</w:tbl>
    <w:p>
      <w:pPr>
        <w:tabs>
          <w:tab w:val="left" w:pos="28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num w:numId="1">
    <w:abstractNumId w:val="0"/>
  </w:num>
  <w:num w:numId="161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bernadeta.stano@op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