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BD" w:rsidRPr="005A21ED" w:rsidRDefault="004D15BD" w:rsidP="004D15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A21ED">
        <w:rPr>
          <w:rFonts w:ascii="Times New Roman" w:hAnsi="Times New Roman" w:cs="Times New Roman"/>
          <w:sz w:val="24"/>
          <w:szCs w:val="24"/>
          <w:u w:val="single"/>
        </w:rPr>
        <w:t>Wydział Politologii</w:t>
      </w:r>
    </w:p>
    <w:p w:rsidR="004D15BD" w:rsidRPr="005A21ED" w:rsidRDefault="004D15BD" w:rsidP="004D15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21ED">
        <w:rPr>
          <w:rFonts w:ascii="Times New Roman" w:hAnsi="Times New Roman" w:cs="Times New Roman"/>
          <w:sz w:val="24"/>
          <w:szCs w:val="24"/>
          <w:u w:val="single"/>
        </w:rPr>
        <w:t>Lista zadań badawczych zaplanowanych do realizacji na 2018 rok w ramach dotacji na utrzymanie potencjału badawczego:</w:t>
      </w:r>
    </w:p>
    <w:p w:rsidR="004D15BD" w:rsidRPr="005A21ED" w:rsidRDefault="004D15BD" w:rsidP="004D15BD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Demokracja a państwo prawa – kolizja, konkurencja czy kooperacja zasad?</w:t>
      </w:r>
    </w:p>
    <w:p w:rsidR="004D15BD" w:rsidRPr="005A21ED" w:rsidRDefault="004D15BD" w:rsidP="004D15BD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Wizja hybrydowych form ustroju demokratycznego – czynniki kontaminacji ideowej.</w:t>
      </w:r>
    </w:p>
    <w:p w:rsidR="004D15BD" w:rsidRPr="005A21ED" w:rsidRDefault="004D15BD" w:rsidP="004D15BD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Historyczny i współczesny kształt idei na tle problemów globalnych, regionalnych oraz narodowych.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Współczesne ruchy społeczne i polityczne.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Dynamika współczesnych systemów politycznych.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Metodologia badań politologicznych; strategie budowy teorii empirycznych.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 xml:space="preserve">Determinanty i komponenty kultury politycznej oraz prawnej 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Komunikowanie polityczne i analiza dyskursów.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Formalna analiza instytucji, decyzji i procesu politycznego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Polityka historyczna w stosunkach międzynarodowych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Polityka międzynarodowa w XX i XXI wieku.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Współczesne studia obszarowe.</w:t>
      </w:r>
    </w:p>
    <w:p w:rsidR="004D15BD" w:rsidRPr="005A21ED" w:rsidRDefault="004D15BD" w:rsidP="004D15BD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Jednostka i wspólnota jako podmioty bezpieczeństwa społecznego.</w:t>
      </w:r>
    </w:p>
    <w:p w:rsidR="004D15BD" w:rsidRPr="005A21ED" w:rsidRDefault="004D15BD" w:rsidP="004D15BD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Teoria bezpieczeństwa społecznego.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Historia konfliktów zbrojnych w XX stuleciu.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Rola flot w bezpieczeństwie morskim państwa / Studia nad zagrożeniem, bezpieczeństwem, wojną i pokojem.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Służby specjalne w systemie bezpieczeństwa i obronności państwa.</w:t>
      </w:r>
    </w:p>
    <w:p w:rsidR="004D15BD" w:rsidRPr="005A21ED" w:rsidRDefault="004D15BD" w:rsidP="004D15BD">
      <w:pPr>
        <w:pStyle w:val="NormalnyWeb"/>
        <w:numPr>
          <w:ilvl w:val="0"/>
          <w:numId w:val="1"/>
        </w:numPr>
        <w:spacing w:line="360" w:lineRule="auto"/>
        <w:ind w:left="714" w:hanging="357"/>
        <w:rPr>
          <w:color w:val="4F6228" w:themeColor="accent3" w:themeShade="80"/>
        </w:rPr>
      </w:pPr>
      <w:r w:rsidRPr="005A21ED">
        <w:rPr>
          <w:color w:val="4F6228" w:themeColor="accent3" w:themeShade="80"/>
        </w:rPr>
        <w:t>Służby policyjne systemie bezpieczeństwa wewnętrznego państwa.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rFonts w:eastAsia="TimesNewRoman"/>
          <w:color w:val="548DD4" w:themeColor="text2" w:themeTint="99"/>
        </w:rPr>
        <w:t>Badania nad prawem rzymskim z okresu późnego cesarstwa rzymskiego, w szczególności nad Kodeksem Teodozjusza.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Administracyjnoprawna ochrona socjalna w Galicji doby autonomicznej.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Przedsiębiorczość w układach regionalnych. 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Energetyka odnawialna w gospodarce rynkowej. 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Aspekty ekologiczne polityki przemysłowej.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Aspekt sieciowości w tworzeniu gospodarki okrężnej na poziomie lokalnym.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Gospodarowanie odpadami w systemie gospodarki okrężnej.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 </w:t>
      </w:r>
      <w:proofErr w:type="spellStart"/>
      <w:r w:rsidRPr="005A21ED">
        <w:rPr>
          <w:i/>
          <w:color w:val="548DD4" w:themeColor="text2" w:themeTint="99"/>
        </w:rPr>
        <w:t>Ecological</w:t>
      </w:r>
      <w:proofErr w:type="spellEnd"/>
      <w:r w:rsidRPr="005A21ED">
        <w:rPr>
          <w:i/>
          <w:color w:val="548DD4" w:themeColor="text2" w:themeTint="99"/>
        </w:rPr>
        <w:t xml:space="preserve"> </w:t>
      </w:r>
      <w:proofErr w:type="spellStart"/>
      <w:r w:rsidRPr="005A21ED">
        <w:rPr>
          <w:i/>
          <w:color w:val="548DD4" w:themeColor="text2" w:themeTint="99"/>
        </w:rPr>
        <w:t>modernization</w:t>
      </w:r>
      <w:proofErr w:type="spellEnd"/>
      <w:r w:rsidRPr="005A21ED">
        <w:rPr>
          <w:color w:val="548DD4" w:themeColor="text2" w:themeTint="99"/>
        </w:rPr>
        <w:t xml:space="preserve"> a kształtowanie bezpieczeństwa ekologicznego.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lastRenderedPageBreak/>
        <w:t>Rola komunikacyjnych rozwiązań infrastrukturalnych w tworzeniu ram rozwojowych na poziomie regionalnym.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Kierunki zmian systemu podatkowego w Polsce.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Problemy bezpieczeństwa ekonomii społecznej.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Ekonomia i zarządzanie systemami i procesami edukacyjnymi.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Współczesne formy partycypacji obywatelskiej w kontekście rozwoju nowoczesnych technologii.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Ochrona prawna zabytków ruchomych na przykładzie pojazdów zabytkowych i kolekcjonerskich.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Znaczenie, rola informacji w prawie administracyjnym i na płaszczyźnie administracji publicznej.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color w:val="548DD4" w:themeColor="text2" w:themeTint="99"/>
        </w:rPr>
      </w:pPr>
      <w:r w:rsidRPr="005A21ED">
        <w:rPr>
          <w:color w:val="548DD4" w:themeColor="text2" w:themeTint="99"/>
        </w:rPr>
        <w:t>Funkcjonowanie systemu konstytucyjnego i partyjnego Republiki Turcji w okresie samodzielnych rządów Partii Sprawiedliwości i Rozwoju.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Polityka zagraniczna Republiki Turcji w okresie rządów </w:t>
      </w:r>
      <w:proofErr w:type="spellStart"/>
      <w:r w:rsidRPr="005A21ED">
        <w:rPr>
          <w:color w:val="548DD4" w:themeColor="text2" w:themeTint="99"/>
        </w:rPr>
        <w:t>R.T.Erdogana</w:t>
      </w:r>
      <w:proofErr w:type="spellEnd"/>
      <w:r w:rsidRPr="005A21ED">
        <w:rPr>
          <w:color w:val="548DD4" w:themeColor="text2" w:themeTint="99"/>
        </w:rPr>
        <w:t>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548DD4" w:themeColor="text2" w:themeTint="99"/>
        </w:rPr>
      </w:pPr>
      <w:r w:rsidRPr="005A21ED">
        <w:rPr>
          <w:color w:val="548DD4" w:themeColor="text2" w:themeTint="99"/>
        </w:rPr>
        <w:t>Prawo informacyjne jako nowa gałąź prawa.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548DD4" w:themeColor="text2" w:themeTint="99"/>
        </w:rPr>
      </w:pPr>
      <w:r w:rsidRPr="005A21ED">
        <w:rPr>
          <w:color w:val="548DD4" w:themeColor="text2" w:themeTint="99"/>
        </w:rPr>
        <w:t>Informacja istotą demokracji - nowy obszar badawczy politologii.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548DD4" w:themeColor="text2" w:themeTint="99"/>
          <w:shd w:val="clear" w:color="auto" w:fill="FFFFFF"/>
        </w:rPr>
      </w:pPr>
      <w:r w:rsidRPr="005A21ED">
        <w:rPr>
          <w:color w:val="548DD4" w:themeColor="text2" w:themeTint="99"/>
          <w:shd w:val="clear" w:color="auto" w:fill="FFFFFF"/>
        </w:rPr>
        <w:t>Bezpieczeństwo społeczności lokalnych.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Imię i nazwisko w prawie niemieckim - studium administracyjnoprawne.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rFonts w:eastAsiaTheme="minorHAnsi"/>
          <w:color w:val="548DD4" w:themeColor="text2" w:themeTint="99"/>
        </w:rPr>
      </w:pPr>
      <w:r w:rsidRPr="005A21ED">
        <w:rPr>
          <w:color w:val="548DD4" w:themeColor="text2" w:themeTint="99"/>
        </w:rPr>
        <w:t>Postępowanie kontrolne prowadzone przez Rzecznika Praw Obywatelskich.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Family </w:t>
      </w:r>
      <w:proofErr w:type="spellStart"/>
      <w:r w:rsidRPr="005A21ED">
        <w:rPr>
          <w:color w:val="548DD4" w:themeColor="text2" w:themeTint="99"/>
        </w:rPr>
        <w:t>mainstreaming</w:t>
      </w:r>
      <w:proofErr w:type="spellEnd"/>
      <w:r w:rsidRPr="005A21ED">
        <w:rPr>
          <w:color w:val="548DD4" w:themeColor="text2" w:themeTint="99"/>
        </w:rPr>
        <w:t xml:space="preserve"> – ujęcie teoretyczno-prawne.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548DD4" w:themeColor="text2" w:themeTint="99"/>
        </w:rPr>
      </w:pPr>
      <w:r w:rsidRPr="005A21ED">
        <w:rPr>
          <w:color w:val="548DD4" w:themeColor="text2" w:themeTint="99"/>
        </w:rPr>
        <w:t>Strategie jednostek samorządu terytorialnego na przykładzie gminy.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548DD4" w:themeColor="text2" w:themeTint="99"/>
        </w:rPr>
      </w:pPr>
      <w:r w:rsidRPr="005A21ED">
        <w:rPr>
          <w:color w:val="548DD4" w:themeColor="text2" w:themeTint="99"/>
        </w:rPr>
        <w:t>Ewolucja prawa wyborczego.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548DD4" w:themeColor="text2" w:themeTint="99"/>
        </w:rPr>
      </w:pPr>
      <w:r w:rsidRPr="005A21ED">
        <w:rPr>
          <w:color w:val="548DD4" w:themeColor="text2" w:themeTint="99"/>
        </w:rPr>
        <w:t>Demokracja bezpośrednia w administracji publicznej.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548DD4" w:themeColor="text2" w:themeTint="99"/>
        </w:rPr>
      </w:pPr>
      <w:r w:rsidRPr="005A21ED">
        <w:rPr>
          <w:color w:val="548DD4" w:themeColor="text2" w:themeTint="99"/>
        </w:rPr>
        <w:t>Unijne środki pomocowe dla jednostek samorządu terytorialnego.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Internacjonalizacja działalności przedsiębiorstwa.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Efektywność oględzin procesowo-kryminalistycznych w umorzonych postępowaniach dotyczących spraw zabójstw.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Instrumenty prawne w zwalczaniu przestępczości międzynarodowej.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Ochrona dorosłych w prawie prywatnym międzynarodowym.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Egzekucja alimentów w sprawach trans granicznych.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Ochrona prawna </w:t>
      </w:r>
      <w:proofErr w:type="spellStart"/>
      <w:r w:rsidRPr="005A21ED">
        <w:rPr>
          <w:color w:val="548DD4" w:themeColor="text2" w:themeTint="99"/>
        </w:rPr>
        <w:t>know</w:t>
      </w:r>
      <w:proofErr w:type="spellEnd"/>
      <w:r w:rsidRPr="005A21ED">
        <w:rPr>
          <w:color w:val="548DD4" w:themeColor="text2" w:themeTint="99"/>
        </w:rPr>
        <w:t xml:space="preserve"> - </w:t>
      </w:r>
      <w:proofErr w:type="spellStart"/>
      <w:r w:rsidRPr="005A21ED">
        <w:rPr>
          <w:color w:val="548DD4" w:themeColor="text2" w:themeTint="99"/>
        </w:rPr>
        <w:t>how</w:t>
      </w:r>
      <w:proofErr w:type="spellEnd"/>
      <w:r w:rsidRPr="005A21ED">
        <w:rPr>
          <w:color w:val="548DD4" w:themeColor="text2" w:themeTint="99"/>
        </w:rPr>
        <w:t xml:space="preserve"> w świetle Dyrektywy Parlamentu Europejskiego i Rady (UE) nr 2016/943 z dnia 8 czerwca 2016 roku.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Ochrona dóbr osobistych - zagadnienia konstrukcyjne w ujęciu </w:t>
      </w:r>
      <w:proofErr w:type="spellStart"/>
      <w:r w:rsidRPr="005A21ED">
        <w:rPr>
          <w:color w:val="548DD4" w:themeColor="text2" w:themeTint="99"/>
        </w:rPr>
        <w:t>prawnoporównawczym</w:t>
      </w:r>
      <w:proofErr w:type="spellEnd"/>
      <w:r w:rsidRPr="005A21ED">
        <w:rPr>
          <w:color w:val="548DD4" w:themeColor="text2" w:themeTint="99"/>
        </w:rPr>
        <w:t>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lastRenderedPageBreak/>
        <w:t>Problematyka długu celnego i innych należności pobieranych w związku z przekroczeniem przez towar granic unijnego obszaru celnego.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Postępowanie celne oraz współpraca międzynarodowa w dziedzinie ceł i innych należności pobieranych w związku z przekroczeniem przez towar granic unijnego obszaru celnego.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Prawa podstawowe Unii Europejskiej w orzecznictwie polskich organów.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 Znaczenie Karty Praw Podstawowych Unii Europejskiej i ogólnych zasad prawa Unii Europejskiej w praktyce działania polskich organów i sądów administracyjnych w sprawach celnych i podatkowych.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Pluralizm ochrony praw podstawowych.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Metody wykładni prawa Unii Europejskiej.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 Kierunki wpływu funduszy unijnych na rozwój inteligentny, zrównoważony i sprzyjający włączeniu społecznemu w Polsce po 2007 roku.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Rozwój </w:t>
      </w:r>
      <w:proofErr w:type="spellStart"/>
      <w:r w:rsidRPr="005A21ED">
        <w:rPr>
          <w:color w:val="548DD4" w:themeColor="text2" w:themeTint="99"/>
        </w:rPr>
        <w:t>inkluzywny</w:t>
      </w:r>
      <w:proofErr w:type="spellEnd"/>
      <w:r w:rsidRPr="005A21ED">
        <w:rPr>
          <w:color w:val="548DD4" w:themeColor="text2" w:themeTint="99"/>
        </w:rPr>
        <w:t xml:space="preserve"> w Polsce oraz rola ekonomii społecznej w jego osiąganiu.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Warunki tworzenia efektywnych modeli akceleracji startupów i wspierania innowacyjnej przedsiębiorczości w Polsce.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Obszary kooperacji przedsiębiorstw w globalnym łańcuchu dostaw.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Zrównoważony łańcuch dostaw na polskim rynku.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Deregulacja sektora telekomunikacyjnego.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Uwarunkowania rozwoju gospodarczego i społecznego krajów Unii Europejskiej, Europy Wschodniej, Azji Centralnej i Azji Wschodniej – czynniki rozwoju (endogeniczne i egzogeniczne), bariery i perspektywy.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Badania nad zdolnością do twórczego myślenia uwarunkowaną wybranym kierunkiem kształcenia.</w:t>
      </w:r>
    </w:p>
    <w:p w:rsidR="005A21ED" w:rsidRPr="005A21ED" w:rsidRDefault="005A21ED" w:rsidP="005A21E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548DD4" w:themeColor="text2" w:themeTint="99"/>
        </w:rPr>
      </w:pPr>
      <w:r w:rsidRPr="005A21ED">
        <w:rPr>
          <w:color w:val="548DD4" w:themeColor="text2" w:themeTint="99"/>
        </w:rPr>
        <w:t>Analiza postaw przedsiębiorczych i umiejętności podejmowania decyzji wśród studentów uczelni wyższych z rozróżnieniem m.in. stopnia studiów, trybu studiów, typu uczelni.</w:t>
      </w:r>
    </w:p>
    <w:p w:rsidR="005A21ED" w:rsidRPr="00087098" w:rsidRDefault="005A21ED" w:rsidP="005A21ED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</w:pPr>
      <w:r w:rsidRPr="005A21ED">
        <w:rPr>
          <w:color w:val="548DD4" w:themeColor="text2" w:themeTint="99"/>
        </w:rPr>
        <w:t>Ewolucja modelu ochrony konsumenta w Polsce.</w:t>
      </w:r>
    </w:p>
    <w:p w:rsidR="00087098" w:rsidRPr="00087098" w:rsidRDefault="00087098" w:rsidP="005A21ED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color w:val="548DD4" w:themeColor="text2" w:themeTint="99"/>
        </w:rPr>
        <w:t>Prawo administracyjne i administracja Unii Europejskiej.</w:t>
      </w:r>
    </w:p>
    <w:p w:rsidR="00087098" w:rsidRPr="00757842" w:rsidRDefault="00087098" w:rsidP="005A21ED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color w:val="548DD4" w:themeColor="text2" w:themeTint="99"/>
        </w:rPr>
        <w:t>Relacje zewnętrzne Unii Europejskiej.</w:t>
      </w:r>
    </w:p>
    <w:p w:rsidR="00757842" w:rsidRPr="00286424" w:rsidRDefault="00757842" w:rsidP="005A21ED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color w:val="1F497D" w:themeColor="text2"/>
        </w:rPr>
      </w:pPr>
      <w:r w:rsidRPr="00286424">
        <w:rPr>
          <w:color w:val="1F497D" w:themeColor="text2"/>
        </w:rPr>
        <w:t>Bezpieczeństwo ekonomiczne.</w:t>
      </w:r>
    </w:p>
    <w:p w:rsidR="005A21ED" w:rsidRPr="005A21ED" w:rsidRDefault="005A21ED" w:rsidP="005A21ED">
      <w:pPr>
        <w:pStyle w:val="NormalnyWeb"/>
        <w:spacing w:line="360" w:lineRule="auto"/>
        <w:rPr>
          <w:color w:val="4F6228" w:themeColor="accent3" w:themeShade="80"/>
        </w:rPr>
      </w:pPr>
    </w:p>
    <w:p w:rsidR="00A13928" w:rsidRDefault="00A13928" w:rsidP="00BF6AFF">
      <w:pPr>
        <w:spacing w:line="36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</w:p>
    <w:p w:rsidR="00087098" w:rsidRPr="005A21ED" w:rsidRDefault="00087098" w:rsidP="00BF6AFF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13928" w:rsidRPr="005A21ED" w:rsidRDefault="00A13928" w:rsidP="00A139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1ED">
        <w:rPr>
          <w:rFonts w:ascii="Times New Roman" w:hAnsi="Times New Roman" w:cs="Times New Roman"/>
          <w:sz w:val="24"/>
          <w:szCs w:val="24"/>
          <w:u w:val="single"/>
        </w:rPr>
        <w:lastRenderedPageBreak/>
        <w:t>Wydział Politologii</w:t>
      </w:r>
    </w:p>
    <w:p w:rsidR="00BF6AFF" w:rsidRPr="005A21ED" w:rsidRDefault="00BF6AFF" w:rsidP="00BF6AF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21ED">
        <w:rPr>
          <w:rFonts w:ascii="Times New Roman" w:hAnsi="Times New Roman" w:cs="Times New Roman"/>
          <w:sz w:val="24"/>
          <w:szCs w:val="24"/>
          <w:u w:val="single"/>
        </w:rPr>
        <w:t>Lista zadań badawczych zaplanowanych do realizacji na 2018 rok z dotacji na badania naukowe lub prace rozwojowe oraz zadania z nimi związane, służące rozwojowi młodych naukowców oraz uczestników studiów doktoranckich:</w:t>
      </w:r>
    </w:p>
    <w:p w:rsidR="004D15BD" w:rsidRPr="005A21ED" w:rsidRDefault="00BF6AFF" w:rsidP="004D15BD">
      <w:pPr>
        <w:pStyle w:val="Akapitzlist"/>
        <w:numPr>
          <w:ilvl w:val="0"/>
          <w:numId w:val="3"/>
        </w:numPr>
        <w:spacing w:line="360" w:lineRule="auto"/>
      </w:pPr>
      <w:r w:rsidRPr="005A21ED">
        <w:t>Formalna analiza instytucji, decyzji i procesu politycznego.</w:t>
      </w:r>
    </w:p>
    <w:p w:rsidR="004D15BD" w:rsidRPr="005A21ED" w:rsidRDefault="00BF6AFF" w:rsidP="004D15BD">
      <w:pPr>
        <w:pStyle w:val="Akapitzlist"/>
        <w:numPr>
          <w:ilvl w:val="0"/>
          <w:numId w:val="3"/>
        </w:numPr>
        <w:spacing w:line="360" w:lineRule="auto"/>
      </w:pPr>
      <w:r w:rsidRPr="005A21ED">
        <w:t>Polityka i bezpieczeństwo w systemie politycznym RP i przestrzeni międzynarodowej.</w:t>
      </w:r>
    </w:p>
    <w:p w:rsidR="004D15BD" w:rsidRPr="005A21ED" w:rsidRDefault="00BF6AFF" w:rsidP="004D15BD">
      <w:pPr>
        <w:pStyle w:val="Akapitzlist"/>
        <w:numPr>
          <w:ilvl w:val="0"/>
          <w:numId w:val="3"/>
        </w:numPr>
        <w:spacing w:line="360" w:lineRule="auto"/>
      </w:pPr>
      <w:r w:rsidRPr="005A21ED">
        <w:t>Idee i dyskursy polityczne, zjawiska mobilizacji politycznej.</w:t>
      </w:r>
    </w:p>
    <w:p w:rsidR="005A21ED" w:rsidRPr="005A21ED" w:rsidRDefault="00BF6AFF" w:rsidP="005A21ED">
      <w:pPr>
        <w:pStyle w:val="Akapitzlist"/>
        <w:numPr>
          <w:ilvl w:val="0"/>
          <w:numId w:val="3"/>
        </w:numPr>
        <w:spacing w:line="360" w:lineRule="auto"/>
      </w:pPr>
      <w:r w:rsidRPr="005A21ED">
        <w:t>Ciągłość i z</w:t>
      </w:r>
      <w:r w:rsidR="005A21ED" w:rsidRPr="005A21ED">
        <w:t>miana w stosunkach politycznych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spacing w:line="360" w:lineRule="auto"/>
        <w:rPr>
          <w:color w:val="548DD4" w:themeColor="text2" w:themeTint="99"/>
        </w:rPr>
      </w:pPr>
      <w:r w:rsidRPr="005A21ED">
        <w:rPr>
          <w:color w:val="548DD4" w:themeColor="text2" w:themeTint="99"/>
        </w:rPr>
        <w:t>Efektywność warunkowego zawieszenia wykonania kary pozbawienia wolności.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Formy wstrzymania wykonania kary pozbawienia wolności. 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Prawa człowieka a czynności procesowo-kryminalistyczne.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Rola i wpływ biegłych na współczesny wymiar sprawiedliwości.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color w:val="548DD4" w:themeColor="text2" w:themeTint="99"/>
        </w:rPr>
      </w:pPr>
      <w:r w:rsidRPr="005A21ED">
        <w:rPr>
          <w:color w:val="548DD4" w:themeColor="text2" w:themeTint="99"/>
        </w:rPr>
        <w:t>Wpływ planowania miejscowego na prawo własności nieruchomości.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Transakcje pomiędzy podmiotami powiązanymi w świetle prawa spółek handlowych.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Prosta spółka akcyjna – analiza kierunku reformy polskiego prawa spółek na tle zmian zachodzących w ciągu ostatniego dziesięciolecia w innych europejskich porządkach prawnych.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Programowanie rozwoju lokalnego i regionalnego.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Struktura akademickiego pola prawnego.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Socjologia idei w naukach prawnych.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 xml:space="preserve">Teoria socjologiczna </w:t>
      </w:r>
      <w:proofErr w:type="spellStart"/>
      <w:r w:rsidRPr="005A21ED">
        <w:rPr>
          <w:color w:val="548DD4" w:themeColor="text2" w:themeTint="99"/>
        </w:rPr>
        <w:t>Bourdieu</w:t>
      </w:r>
      <w:proofErr w:type="spellEnd"/>
      <w:r w:rsidRPr="005A21ED">
        <w:rPr>
          <w:color w:val="548DD4" w:themeColor="text2" w:themeTint="99"/>
        </w:rPr>
        <w:t xml:space="preserve"> w prawie.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Wieloraka analiza korespondencji i jej zastosowanie w prawie.</w:t>
      </w:r>
    </w:p>
    <w:p w:rsidR="005A21ED" w:rsidRPr="005A21ED" w:rsidRDefault="005A21ED" w:rsidP="005A21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eastAsia="TimesNewRoman"/>
          <w:color w:val="548DD4" w:themeColor="text2" w:themeTint="99"/>
        </w:rPr>
      </w:pPr>
      <w:r w:rsidRPr="005A21ED">
        <w:rPr>
          <w:color w:val="548DD4" w:themeColor="text2" w:themeTint="99"/>
        </w:rPr>
        <w:t>Prawne aspekty rodzicielstwa.</w:t>
      </w:r>
    </w:p>
    <w:p w:rsidR="005A21ED" w:rsidRPr="005A21ED" w:rsidRDefault="005A21ED" w:rsidP="005A21ED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5A21ED" w:rsidRPr="005A21ED" w:rsidRDefault="005A21ED" w:rsidP="005A21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1ED" w:rsidRPr="005A21ED" w:rsidRDefault="005A21ED" w:rsidP="005A2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41DE" w:rsidRPr="005A21ED" w:rsidRDefault="005D41DE">
      <w:pPr>
        <w:rPr>
          <w:rFonts w:ascii="Times New Roman" w:hAnsi="Times New Roman" w:cs="Times New Roman"/>
          <w:sz w:val="24"/>
          <w:szCs w:val="24"/>
        </w:rPr>
      </w:pPr>
    </w:p>
    <w:sectPr w:rsidR="005D41DE" w:rsidRPr="005A21ED" w:rsidSect="00BF6AF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6EC"/>
    <w:multiLevelType w:val="hybridMultilevel"/>
    <w:tmpl w:val="63B0E4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2455C"/>
    <w:multiLevelType w:val="hybridMultilevel"/>
    <w:tmpl w:val="675250C8"/>
    <w:lvl w:ilvl="0" w:tplc="70C8396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91A34"/>
    <w:multiLevelType w:val="hybridMultilevel"/>
    <w:tmpl w:val="F91A0884"/>
    <w:lvl w:ilvl="0" w:tplc="EF1CB0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AD7"/>
    <w:multiLevelType w:val="hybridMultilevel"/>
    <w:tmpl w:val="F02E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E7C65"/>
    <w:multiLevelType w:val="hybridMultilevel"/>
    <w:tmpl w:val="F02E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FF"/>
    <w:rsid w:val="00087098"/>
    <w:rsid w:val="000E2B32"/>
    <w:rsid w:val="00286424"/>
    <w:rsid w:val="00454535"/>
    <w:rsid w:val="004A3AF6"/>
    <w:rsid w:val="004D15BD"/>
    <w:rsid w:val="005A0A71"/>
    <w:rsid w:val="005A21ED"/>
    <w:rsid w:val="005D41DE"/>
    <w:rsid w:val="0065246A"/>
    <w:rsid w:val="00757842"/>
    <w:rsid w:val="00812C0A"/>
    <w:rsid w:val="00A13928"/>
    <w:rsid w:val="00A451E2"/>
    <w:rsid w:val="00B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IP-234</dc:creator>
  <cp:lastModifiedBy>Małgorzata Maria Grudnik</cp:lastModifiedBy>
  <cp:revision>2</cp:revision>
  <cp:lastPrinted>2018-05-09T10:31:00Z</cp:lastPrinted>
  <dcterms:created xsi:type="dcterms:W3CDTF">2018-05-09T11:08:00Z</dcterms:created>
  <dcterms:modified xsi:type="dcterms:W3CDTF">2018-05-09T11:08:00Z</dcterms:modified>
</cp:coreProperties>
</file>