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From Means to Mediation and Beyond. </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Investigating the Role of Translation in the ESP University Classroom</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The doctoral thesis entitled "From Means to Mediation and Beyond. Investigating the Role of Translation in the ESP University Classroom” is devoted to the role of translation in its various forms in the teaching process, in light of the changes </w:t>
      </w:r>
      <w:r w:rsidDel="00000000" w:rsidR="00000000" w:rsidRPr="00000000">
        <w:rPr>
          <w:rFonts w:ascii="Cambria" w:cs="Cambria" w:eastAsia="Cambria" w:hAnsi="Cambria"/>
          <w:sz w:val="24"/>
          <w:szCs w:val="24"/>
          <w:rtl w:val="0"/>
        </w:rPr>
        <w:t xml:space="preserve">to</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i w:val="1"/>
          <w:smallCaps w:val="0"/>
          <w:strike w:val="0"/>
          <w:color w:val="000000"/>
          <w:sz w:val="24"/>
          <w:szCs w:val="24"/>
          <w:u w:val="none"/>
          <w:shd w:fill="auto" w:val="clear"/>
          <w:vertAlign w:val="baseline"/>
          <w:rtl w:val="0"/>
        </w:rPr>
        <w:t xml:space="preserve">The European Framework of Reference for</w:t>
      </w:r>
      <w:r w:rsidDel="00000000" w:rsidR="00000000" w:rsidRPr="00000000">
        <w:rPr>
          <w:rFonts w:ascii="Cambria" w:cs="Cambria" w:eastAsia="Cambria" w:hAnsi="Cambria"/>
          <w:i w:val="1"/>
          <w:sz w:val="24"/>
          <w:szCs w:val="24"/>
          <w:rtl w:val="0"/>
        </w:rPr>
        <w:t xml:space="preserve"> </w:t>
      </w:r>
      <w:r w:rsidDel="00000000" w:rsidR="00000000" w:rsidRPr="00000000">
        <w:rPr>
          <w:rFonts w:ascii="Cambria" w:cs="Cambria" w:eastAsia="Cambria" w:hAnsi="Cambria"/>
          <w:i w:val="1"/>
          <w:smallCaps w:val="0"/>
          <w:strike w:val="0"/>
          <w:color w:val="000000"/>
          <w:sz w:val="24"/>
          <w:szCs w:val="24"/>
          <w:u w:val="none"/>
          <w:shd w:fill="auto" w:val="clear"/>
          <w:vertAlign w:val="baseline"/>
          <w:rtl w:val="0"/>
        </w:rPr>
        <w:t xml:space="preserve">Languages</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 (2011) following the publication of </w:t>
      </w:r>
      <w:r w:rsidDel="00000000" w:rsidR="00000000" w:rsidRPr="00000000">
        <w:rPr>
          <w:rFonts w:ascii="Cambria" w:cs="Cambria" w:eastAsia="Cambria" w:hAnsi="Cambria"/>
          <w:i w:val="1"/>
          <w:smallCaps w:val="0"/>
          <w:strike w:val="0"/>
          <w:color w:val="000000"/>
          <w:sz w:val="24"/>
          <w:szCs w:val="24"/>
          <w:u w:val="none"/>
          <w:shd w:fill="auto" w:val="clear"/>
          <w:vertAlign w:val="baseline"/>
          <w:rtl w:val="0"/>
        </w:rPr>
        <w:t xml:space="preserve">The Companion Volume with New Descriptors</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 (2018). </w:t>
      </w:r>
      <w:r w:rsidDel="00000000" w:rsidR="00000000" w:rsidRPr="00000000">
        <w:rPr>
          <w:rFonts w:ascii="Cambria" w:cs="Cambria" w:eastAsia="Cambria" w:hAnsi="Cambria"/>
          <w:sz w:val="24"/>
          <w:szCs w:val="24"/>
          <w:rtl w:val="0"/>
        </w:rPr>
        <w:t xml:space="preserve">In recent years, a</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 gro</w:t>
      </w:r>
      <w:r w:rsidDel="00000000" w:rsidR="00000000" w:rsidRPr="00000000">
        <w:rPr>
          <w:rFonts w:ascii="Cambria" w:cs="Cambria" w:eastAsia="Cambria" w:hAnsi="Cambria"/>
          <w:sz w:val="24"/>
          <w:szCs w:val="24"/>
          <w:rtl w:val="0"/>
        </w:rPr>
        <w:t xml:space="preserve">wing body of literature has presented strong theoretical and increasingly evidence-based arguments in favor of translation in language education. In this light, t</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he dissertation focuses on pedagogical translation, with particular emphasis put on the role that it can play in the process of language education at the academic level of ESP. The theoretical part focuses on various issues related to translation, analyzing them on a theoretical and pragmatic level, taking into account the point of view of Translation Studies and Glottodidactics. The thesis also attempts to pinpoint </w:t>
      </w:r>
      <w:r w:rsidDel="00000000" w:rsidR="00000000" w:rsidRPr="00000000">
        <w:rPr>
          <w:rFonts w:ascii="Cambria" w:cs="Cambria" w:eastAsia="Cambria" w:hAnsi="Cambria"/>
          <w:i w:val="0"/>
          <w:smallCaps w:val="0"/>
          <w:strike w:val="0"/>
          <w:sz w:val="24"/>
          <w:szCs w:val="24"/>
          <w:u w:val="none"/>
          <w:shd w:fill="auto" w:val="clear"/>
          <w:vertAlign w:val="baseline"/>
          <w:rtl w:val="0"/>
        </w:rPr>
        <w:t xml:space="preserve">interfaces</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 between the two disciplines</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br w:type="textWrapping"/>
        <w:tab/>
        <w:t xml:space="preserve">The predominant aim of the research part of the thesis is to analyze the presence of translation and the scale of using translation exercises in ESP classes at the academic level (B2 level). The research tool, developed in the form of a questionnaire, is addressed to students and teachers of specialised languages from universities in Poland as well as to academic teachers</w:t>
      </w:r>
      <w:r w:rsidDel="00000000" w:rsidR="00000000" w:rsidRPr="00000000">
        <w:rPr>
          <w:rFonts w:ascii="Cambria" w:cs="Cambria" w:eastAsia="Cambria" w:hAnsi="Cambria"/>
          <w:sz w:val="24"/>
          <w:szCs w:val="24"/>
          <w:rtl w:val="0"/>
        </w:rPr>
        <w:t xml:space="preserve"> are affiliated with </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two international organizations: the Slovene Association of LSP and the International ESP Teachers' Association. The questions raised in the survey focus on issues directly and indirectly related to the application of translation in the teaching and learning of English. In addition, coursebooks and academic textbooks for teaching specialised languages are analyzed in terms of the presence of translation activities. The paper also discusses briefly proposals for practical translation exercises that can be used in ESP classes at the academic level.</w:t>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